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B2A4A" w:sz="12" w:space="4"/>
        </w:pBdr>
        <w:spacing w:after="160" w:before="240"/>
      </w:pPr>
      <w:r>
        <w:rPr>
          <w:rFonts w:ascii="Georgia" w:cs="Georgia" w:eastAsia="Georgia" w:hAnsi="Georgia"/>
          <w:b/>
          <w:bCs/>
          <w:color w:val="1B2A4A"/>
          <w:sz w:val="36"/>
          <w:szCs w:val="36"/>
        </w:rPr>
        <w:t xml:space="preserve">Deel 22 — Examentraining iSAQB-module (strategisch deel) + portfolio</w:t>
      </w:r>
    </w:p>
    <w:p>
      <w:pPr>
        <w:spacing w:after="140" w:line="300"/>
      </w:pPr>
      <w:r>
        <w:rPr>
          <w:rFonts w:ascii="Calibri" w:cs="Calibri" w:eastAsia="Calibri" w:hAnsi="Calibri"/>
          <w:b w:val="false"/>
          <w:bCs w:val="false"/>
          <w:i w:val="false"/>
          <w:iCs w:val="false"/>
          <w:sz w:val="22"/>
          <w:szCs w:val="22"/>
        </w:rPr>
        <w:t xml:space="preserve">Docentenhandleiding · Ductus-cursus Domain-Driven Design · niveau 2 · deel 22 van 30 — afsluiting van niveau 2</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1. Positie van dit deel</w:t>
      </w:r>
    </w:p>
    <w:p>
      <w:pPr>
        <w:spacing w:after="140" w:line="300"/>
      </w:pPr>
      <w:r>
        <w:rPr>
          <w:rFonts w:ascii="Calibri" w:cs="Calibri" w:eastAsia="Calibri" w:hAnsi="Calibri"/>
          <w:b w:val="false"/>
          <w:bCs w:val="false"/>
          <w:i w:val="false"/>
          <w:iCs w:val="false"/>
          <w:sz w:val="22"/>
          <w:szCs w:val="22"/>
        </w:rPr>
        <w:t xml:space="preserve">Deel 22 is de afsluiting van niveau 2 en heeft, net als deel 10 aan het eind van niveau 1, geen nieuwe theorie en geen nieuwe Ductus-werkvorm. Het bestaat uit twee onderdelen: een examentraining in de vorm van de iSAQB Advanced-module DDD (strategisch deel), met een eigen vragenbank, en een portfoliosessie waarin deelnemers het complete, landschap-brede werk van niveau 2 — context map, kerndomeinkeuze, architectuurbeslissingen en teamtopologie — bundelen tot één samenhangend geheel en dat geheel mondeling verdedigen tegen kritische bevraging. Dit deel toetst niet of deelnemers losse patronen kennen (dat deden de opdrachten in deel 11 t/m 21 al), maar of ze de samenhang tussen elf delen werk kunnen vasthouden onder druk van mensen die geen aannames delen.</w:t>
      </w:r>
    </w:p>
    <w:p>
      <w:pPr>
        <w:spacing w:after="140" w:line="300"/>
      </w:pPr>
      <w:r>
        <w:rPr>
          <w:rFonts w:ascii="Calibri" w:cs="Calibri" w:eastAsia="Calibri" w:hAnsi="Calibri"/>
          <w:b w:val="false"/>
          <w:bCs w:val="false"/>
          <w:i w:val="false"/>
          <w:iCs w:val="false"/>
          <w:sz w:val="22"/>
          <w:szCs w:val="22"/>
        </w:rPr>
        <w:t xml:space="preserve">Bereid je hierop voor als docent door zelf minstens één kritische vraag per ronde uit reader §22.5 (context map/kerndomein, architectuur/consistentie, teams/integratie-events, samenhang) paraat te hebben, mocht je zelf een van de vier bevragende rollen moeten invullen bij een kleine groep zonder externe gasten. Bereid in het bijzonder ronde 4 voor: dit is de ronde waar het portfolio zijn waarde bewijst of juist uiteenvalt in losse onderdelen.</w:t>
      </w:r>
    </w:p>
    <w:p>
      <w:pPr>
        <w:pStyle w:val="ListParagraph"/>
        <w:numPr>
          <w:ilvl w:val="0"/>
          <w:numId w:val="1"/>
        </w:numPr>
        <w:spacing w:after="80"/>
      </w:pPr>
      <w:r>
        <w:rPr>
          <w:rFonts w:ascii="Calibri" w:cs="Calibri" w:eastAsia="Calibri" w:hAnsi="Calibri"/>
          <w:sz w:val="22"/>
          <w:szCs w:val="22"/>
        </w:rPr>
        <w:t xml:space="preserve">**Module-onderdeel:** oefensessie in de examenvorm van het strategische deel van de iSAQB Advanced-module DDD; eigen vragenbank, geen echte examenvragen.</w:t>
      </w:r>
    </w:p>
    <w:p>
      <w:pPr>
        <w:pStyle w:val="ListParagraph"/>
        <w:numPr>
          <w:ilvl w:val="0"/>
          <w:numId w:val="1"/>
        </w:numPr>
        <w:spacing w:after="80"/>
      </w:pPr>
      <w:r>
        <w:rPr>
          <w:rFonts w:ascii="Calibri" w:cs="Calibri" w:eastAsia="Calibri" w:hAnsi="Calibri"/>
          <w:sz w:val="22"/>
          <w:szCs w:val="22"/>
        </w:rPr>
        <w:t xml:space="preserve">**Werkvorm:** geen nieuw instrument — bundeling en verdediging van de eerdere instrumenten (landschapskaart, kerndomeinkeuze, relatieblad, grensbeschermingsblad, big-picture-wand, processtroom, voorbeeldkaart, grenzentoets, architectuurkeuzeblad, teamgrenskaart, integratieblad) in samenhang.</w:t>
      </w:r>
    </w:p>
    <w:p>
      <w:pPr>
        <w:pStyle w:val="ListParagraph"/>
        <w:numPr>
          <w:ilvl w:val="0"/>
          <w:numId w:val="1"/>
        </w:numPr>
        <w:spacing w:after="80"/>
      </w:pPr>
      <w:r>
        <w:rPr>
          <w:rFonts w:ascii="Calibri" w:cs="Calibri" w:eastAsia="Calibri" w:hAnsi="Calibri"/>
          <w:sz w:val="22"/>
          <w:szCs w:val="22"/>
        </w:rPr>
        <w:t xml:space="preserve">**Duur:** één dagdeel (3,5 uur inclusief pauze), eventueel uit te breiden tot een volledige dag als externe gasten worden uitgenodigd voor de portfoliosessie (zie §4).</w:t>
      </w:r>
    </w:p>
    <w:p>
      <w:pPr>
        <w:pStyle w:val="ListParagraph"/>
        <w:numPr>
          <w:ilvl w:val="0"/>
          <w:numId w:val="1"/>
        </w:numPr>
        <w:spacing w:after="80"/>
      </w:pPr>
      <w:r>
        <w:rPr>
          <w:rFonts w:ascii="Calibri" w:cs="Calibri" w:eastAsia="Calibri" w:hAnsi="Calibri"/>
          <w:sz w:val="22"/>
          <w:szCs w:val="22"/>
        </w:rPr>
        <w:t xml:space="preserve">**Voorbereiding deelnemers:** deel 11 t/m 21 volledig afgerond, alle elf ingevulde werkvormen bij de hand.</w:t>
      </w:r>
    </w:p>
    <w:p>
      <w:pPr>
        <w:pStyle w:val="Heading2"/>
        <w:spacing w:after="120" w:before="200"/>
      </w:pPr>
      <w:r>
        <w:rPr>
          <w:rFonts w:ascii="Georgia" w:cs="Georgia" w:eastAsia="Georgia" w:hAnsi="Georgia"/>
          <w:b/>
          <w:bCs/>
          <w:color w:val="2C5AA0"/>
          <w:sz w:val="28"/>
          <w:szCs w:val="28"/>
        </w:rPr>
        <w:t xml:space="preserve">2. Tijdschema (dagdeel van 3,5 uur)</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tblGrid>
      <w:tr>
        <w:trPr>
          <w:tblHeader/>
        </w:trPr>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Tijd</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Onderdeel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0:00-0:10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Opening: waarom dit deel geen nieuwe theorie brengt, en wat "portfolio" hier betekent (zie §3)</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0:10-0:20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Voorbeeldvraag met uitwerking (reader §22.3)</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0:20-0:55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1 — vijf scenariovragen, individueel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0:55-1:15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2 — zelfcorrectie in tweetallen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1:15-1:30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Pauze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1:30-1:50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3 — zelf een scenariovraag schrijven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1:50-2:05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4 — klassikale bespreking</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2:05-2:10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Overgang naar deel B: het portfolio (zie §3 en §5)</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2:10-2:50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5 en 6 — het portfolio samenstellen en de samenhang expliciet maken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2:50-3:20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7 en 8 — voorbereiding en uitvoering van de portfoliosessie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3:20-3:35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Gezamenlijke afsluiting van niveau 2 (zie §7)</w:t>
            </w:r>
          </w:p>
        </w:tc>
      </w:tr>
    </w:tbl>
    <w:p>
      <w:pPr>
        <w:spacing w:after="140" w:line="300"/>
      </w:pPr>
      <w:r>
        <w:rPr>
          <w:rFonts w:ascii="Calibri" w:cs="Calibri" w:eastAsia="Calibri" w:hAnsi="Calibri"/>
          <w:b w:val="false"/>
          <w:bCs w:val="false"/>
          <w:i w:val="false"/>
          <w:iCs w:val="false"/>
          <w:sz w:val="22"/>
          <w:szCs w:val="22"/>
        </w:rPr>
        <w:t xml:space="preserve">Als externe gasten worden uitgenodigd voor de portfoliosessie (zie §4), plan dan een volledige dag: deel A in de ochtend, deel B (met langere sessies per ronde en een uitgebreidere nabespreking) in de middag. Dit is, gezien de omvang van het te bundelen materiaal, eerder de norm dan de uitzondering bij deel 22 — overweeg dit standaard te plannen als de groep en de gelegenheid het toelaten.</w:t>
      </w:r>
    </w:p>
    <w:p>
      <w:pPr>
        <w:pStyle w:val="Heading2"/>
        <w:spacing w:after="120" w:before="200"/>
      </w:pPr>
      <w:r>
        <w:rPr>
          <w:rFonts w:ascii="Georgia" w:cs="Georgia" w:eastAsia="Georgia" w:hAnsi="Georgia"/>
          <w:b/>
          <w:bCs/>
          <w:color w:val="2C5AA0"/>
          <w:sz w:val="28"/>
          <w:szCs w:val="28"/>
        </w:rPr>
        <w:t xml:space="preserve">3. De opening</w:t>
      </w:r>
    </w:p>
    <w:p>
      <w:pPr>
        <w:spacing w:after="140" w:line="300"/>
      </w:pPr>
      <w:r>
        <w:rPr>
          <w:rFonts w:ascii="Calibri" w:cs="Calibri" w:eastAsia="Calibri" w:hAnsi="Calibri"/>
          <w:b w:val="false"/>
          <w:bCs w:val="false"/>
          <w:i w:val="false"/>
          <w:iCs w:val="false"/>
          <w:sz w:val="22"/>
          <w:szCs w:val="22"/>
        </w:rPr>
        <w:t xml:space="preserve">Begin niet met de vragenbank, maar met een korte toelichting op wat dit deel wél en niet is, en wat "portfolio" in deze cursus betekent:</w:t>
      </w:r>
    </w:p>
    <w:tbl>
      <w:tblPr>
        <w:tblW w:type="pct" w:w="100%"/>
        <w:tblBorders>
          <w:top w:val="single" w:color="F2F2F2" w:sz="2"/>
          <w:left w:val="single" w:color="2C5AA0" w:sz="36"/>
          <w:bottom w:val="single" w:color="F2F2F2" w:sz="2"/>
          <w:right w:val="single" w:color="F2F2F2" w:sz="2"/>
          <w:insideH w:val="single" w:color="auto" w:sz="4"/>
          <w:insideV w:val="single" w:color="auto" w:sz="4"/>
        </w:tblBorders>
      </w:tblPr>
      <w:tblGrid>
        <w:gridCol w:w="100"/>
      </w:tblGrid>
      <w:tr>
        <w:tc>
          <w:tcPr>
            <w:shd w:fill="F2F2F2" w:color="auto" w:val="clear"/>
            <w:tcMar>
              <w:top w:type="dxa" w:w="160"/>
              <w:left w:type="dxa" w:w="220"/>
              <w:bottom w:type="dxa" w:w="160"/>
              <w:right w:type="dxa" w:w="220"/>
            </w:tcMar>
          </w:tcPr>
          <w:p>
            <w:pPr>
              <w:spacing w:after="100" w:line="280"/>
            </w:pPr>
            <w:r>
              <w:rPr>
                <w:rFonts w:ascii="Calibri" w:cs="Calibri" w:eastAsia="Calibri" w:hAnsi="Calibri"/>
                <w:i/>
                <w:iCs/>
                <w:sz w:val="22"/>
                <w:szCs w:val="22"/>
              </w:rPr>
              <w:t xml:space="preserve">*"De vorige elf delen hebben jullie elf instrumenten gegeven, toegepast op één landschap. Vandaag voegen we niets nieuws toe. We doen twee dingen: eerst oefenen we de vraagvorm die je bij het strategische deel van de echte iSAQB-module tegenkomt. Daarna doen we iets moeilijkers dan bij deel 10: jullie bundelen niet één model, maar het complete landschap — vijf systemen, acht relaties, een kerndomeinkeuze, architectuurbeslissingen en een teamtopologie — tot één verhaal, en verdedigen dat tegenover mensen die er niet bij waren en die, anders dan bij deel 10, ook nog eens vanuit heel verschillende belangen kijken: compliance, actuariaat, bestuur."*</w:t>
            </w:r>
          </w:p>
        </w:tc>
      </w:tr>
    </w:tbl>
    <w:p>
      <w:pPr>
        <w:spacing w:after="140" w:line="300"/>
      </w:pPr>
      <w:r>
        <w:rPr>
          <w:rFonts w:ascii="Calibri" w:cs="Calibri" w:eastAsia="Calibri" w:hAnsi="Calibri"/>
          <w:b w:val="false"/>
          <w:bCs w:val="false"/>
          <w:i w:val="false"/>
          <w:iCs w:val="false"/>
          <w:sz w:val="22"/>
          <w:szCs w:val="22"/>
        </w:rPr>
        <w:t xml:space="preserve">Benoem expliciet dat het portfolio geen document is dat alle elf werkvormen naast elkaar plakt, maar één samenhangend geheel dat laat zien hoe de keuzes elkaar ondersteunen. Herhaal de drie soorten antwoorden uit deel 10 (oppervlakkig ja, onderbouwd nee, eerlijke onzekerheid), nu toegepast op samenhang in plaats van op een los antwoord.</w:t>
      </w:r>
    </w:p>
    <w:p>
      <w:pPr>
        <w:pStyle w:val="Heading2"/>
        <w:spacing w:after="120" w:before="200"/>
      </w:pPr>
      <w:r>
        <w:rPr>
          <w:rFonts w:ascii="Georgia" w:cs="Georgia" w:eastAsia="Georgia" w:hAnsi="Georgia"/>
          <w:b/>
          <w:bCs/>
          <w:color w:val="2C5AA0"/>
          <w:sz w:val="28"/>
          <w:szCs w:val="28"/>
        </w:rPr>
        <w:t xml:space="preserve">4. De vier bevragende rollen — praktische opties</w:t>
      </w:r>
    </w:p>
    <w:p>
      <w:pPr>
        <w:spacing w:after="140" w:line="300"/>
      </w:pPr>
      <w:r>
        <w:rPr>
          <w:rFonts w:ascii="Calibri" w:cs="Calibri" w:eastAsia="Calibri" w:hAnsi="Calibri"/>
          <w:b w:val="false"/>
          <w:bCs w:val="false"/>
          <w:i w:val="false"/>
          <w:iCs w:val="false"/>
          <w:sz w:val="22"/>
          <w:szCs w:val="22"/>
        </w:rPr>
        <w:t xml:space="preserve">De reader beschrijft vier rollen: een compliance-adviseur die het landschap voor het eerst ziet, een actuaris, een bestuurder en Iris Tanghe zelf. In de daadwerkelijke uitvoering zijn er, net als bij deel 10, drie realistische opties:</w:t>
      </w:r>
    </w:p>
    <w:p>
      <w:pPr>
        <w:pStyle w:val="ListParagraph"/>
        <w:numPr>
          <w:ilvl w:val="0"/>
          <w:numId w:val="1"/>
        </w:numPr>
        <w:spacing w:after="80"/>
      </w:pPr>
      <w:r>
        <w:rPr>
          <w:rFonts w:ascii="Calibri" w:cs="Calibri" w:eastAsia="Calibri" w:hAnsi="Calibri"/>
          <w:sz w:val="22"/>
          <w:szCs w:val="22"/>
        </w:rPr>
        <w:t xml:space="preserve">**Vier gastdocenten of collega-trainers**, elk kort gebriefd op hun rol vanuit het casusdossier (niet meer dan dat) en de vier rondes uit reader §22.5. Dit is de sterkste optie, vooral voor ronde 1 (compliance-adviseur), waar de kracht van de vraag juist zit in de onbekendheid met het landschap.</w:t>
      </w:r>
    </w:p>
    <w:p>
      <w:pPr>
        <w:pStyle w:val="ListParagraph"/>
        <w:numPr>
          <w:ilvl w:val="0"/>
          <w:numId w:val="1"/>
        </w:numPr>
        <w:spacing w:after="80"/>
      </w:pPr>
      <w:r>
        <w:rPr>
          <w:rFonts w:ascii="Calibri" w:cs="Calibri" w:eastAsia="Calibri" w:hAnsi="Calibri"/>
          <w:sz w:val="22"/>
          <w:szCs w:val="22"/>
        </w:rPr>
        <w:t xml:space="preserve">**Andere subgroepen binnen dezelfde cursus**, die zelf ook een portfolio hebben voorbereid maar tijdelijk wisselen van rol. Werkt goed bij groepen van acht of meer deelnemers; verdeel de vier rollen over de wisselende subgroep zodat elke deelnemer meerdere invalshoeken ervaart.</w:t>
      </w:r>
    </w:p>
    <w:p>
      <w:pPr>
        <w:pStyle w:val="ListParagraph"/>
        <w:numPr>
          <w:ilvl w:val="0"/>
          <w:numId w:val="1"/>
        </w:numPr>
        <w:spacing w:after="80"/>
      </w:pPr>
      <w:r>
        <w:rPr>
          <w:rFonts w:ascii="Calibri" w:cs="Calibri" w:eastAsia="Calibri" w:hAnsi="Calibri"/>
          <w:sz w:val="22"/>
          <w:szCs w:val="22"/>
        </w:rPr>
        <w:t xml:space="preserve">**De docent zelf**, als geen van de bovenstaande opties beschikbaar is. Neem in dat geval bewust alle vier de rollen na elkaar aan, met een korte aankondiging van rolwissel. Reserveer voor ronde 4 (Iris, de samenhangsvraag) je scherpste, best voorbereide vraag — dit is de ronde die het verschil maakt tussen een portfolio dat als losse onderdelen overkomt en een portfolio dat als geheel overtuigt.</w:t>
      </w:r>
    </w:p>
    <w:p>
      <w:pPr>
        <w:spacing w:after="140" w:line="300"/>
      </w:pPr>
      <w:r>
        <w:rPr>
          <w:rFonts w:ascii="Calibri" w:cs="Calibri" w:eastAsia="Calibri" w:hAnsi="Calibri"/>
          <w:b w:val="false"/>
          <w:bCs w:val="false"/>
          <w:i w:val="false"/>
          <w:iCs w:val="false"/>
          <w:sz w:val="22"/>
          <w:szCs w:val="22"/>
        </w:rPr>
        <w:t xml:space="preserve">Kies de optie vóór de sessie en communiceer dit tijdig.</w:t>
      </w:r>
    </w:p>
    <w:p>
      <w:pPr>
        <w:pStyle w:val="Heading2"/>
        <w:spacing w:after="120" w:before="200"/>
      </w:pPr>
      <w:r>
        <w:rPr>
          <w:rFonts w:ascii="Georgia" w:cs="Georgia" w:eastAsia="Georgia" w:hAnsi="Georgia"/>
          <w:b/>
          <w:bCs/>
          <w:color w:val="2C5AA0"/>
          <w:sz w:val="28"/>
          <w:szCs w:val="28"/>
        </w:rPr>
        <w:t xml:space="preserve">5. Hoe je het portfolio beoordeelt — de rubric</w:t>
      </w:r>
    </w:p>
    <w:p>
      <w:pPr>
        <w:spacing w:after="140" w:line="300"/>
      </w:pPr>
      <w:r>
        <w:rPr>
          <w:rFonts w:ascii="Calibri" w:cs="Calibri" w:eastAsia="Calibri" w:hAnsi="Calibri"/>
          <w:b w:val="false"/>
          <w:bCs w:val="false"/>
          <w:i w:val="false"/>
          <w:iCs w:val="false"/>
          <w:sz w:val="22"/>
          <w:szCs w:val="22"/>
        </w:rPr>
        <w:t xml:space="preserve">Dit is het kernonderdeel van deze docentenhandleiding, en anders dan bij deel 10 gaat het hier niet om de verdediging van één model, maar om de kwaliteit van de </w:t>
      </w:r>
      <w:r>
        <w:rPr>
          <w:rFonts w:ascii="Calibri" w:cs="Calibri" w:eastAsia="Calibri" w:hAnsi="Calibri"/>
          <w:b/>
          <w:bCs/>
          <w:i w:val="false"/>
          <w:iCs w:val="false"/>
          <w:sz w:val="22"/>
          <w:szCs w:val="22"/>
        </w:rPr>
        <w:t xml:space="preserve">bundeling</w:t>
      </w:r>
      <w:r>
        <w:rPr>
          <w:rFonts w:ascii="Calibri" w:cs="Calibri" w:eastAsia="Calibri" w:hAnsi="Calibri"/>
          <w:b w:val="false"/>
          <w:bCs w:val="false"/>
          <w:i w:val="false"/>
          <w:iCs w:val="false"/>
          <w:sz w:val="22"/>
          <w:szCs w:val="22"/>
        </w:rPr>
        <w:t xml:space="preserve"> van elf delen werk. De portfoliosessie wordt niet becijferd, maar wél systematisch beoordeeld, in lijn met de familiestijl dat een onderbouwd "nee" hoger telt dan een oppervlakkig "ja" — hier uitgewerkt tot een rubric met vier criteria.</w:t>
      </w:r>
    </w:p>
    <w:p>
      <w:pPr>
        <w:pStyle w:val="Heading3"/>
        <w:spacing w:after="100" w:before="160"/>
      </w:pPr>
      <w:r>
        <w:rPr>
          <w:rFonts w:ascii="Georgia" w:cs="Georgia" w:eastAsia="Georgia" w:hAnsi="Georgia"/>
          <w:b/>
          <w:bCs/>
          <w:color w:val="1B2A4A"/>
          <w:sz w:val="24"/>
          <w:szCs w:val="24"/>
        </w:rPr>
        <w:t xml:space="preserve">Criterium 1 — Volledigheid van de vier bouwstenen</w:t>
      </w:r>
    </w:p>
    <w:p>
      <w:pPr>
        <w:spacing w:after="140" w:line="300"/>
      </w:pPr>
      <w:r>
        <w:rPr>
          <w:rFonts w:ascii="Calibri" w:cs="Calibri" w:eastAsia="Calibri" w:hAnsi="Calibri"/>
          <w:b w:val="false"/>
          <w:bCs w:val="false"/>
          <w:i w:val="false"/>
          <w:iCs w:val="false"/>
          <w:sz w:val="22"/>
          <w:szCs w:val="22"/>
        </w:rPr>
        <w:t xml:space="preserve">Bevat het portfolio, voor elk van de vier bouwstenen uit dossierstuk 22-A (context map, kerndomeinkeuze, architectuurbeslissingen, teamtopologie), een concrete, uit het eigen werk van deel 11 t/m 21 herleidbare samenvatting — of ontbreekt er een bouwsteen, of is een bouwsteen zo algemeen geformuleerd dat hij niet herleidbaar is tot een specifiek deel?</w:t>
      </w:r>
    </w:p>
    <w:p>
      <w:pPr>
        <w:pStyle w:val="ListParagraph"/>
        <w:numPr>
          <w:ilvl w:val="0"/>
          <w:numId w:val="1"/>
        </w:numPr>
        <w:spacing w:after="80"/>
      </w:pPr>
      <w:r>
        <w:rPr>
          <w:rFonts w:ascii="Calibri" w:cs="Calibri" w:eastAsia="Calibri" w:hAnsi="Calibri"/>
          <w:sz w:val="22"/>
          <w:szCs w:val="22"/>
        </w:rPr>
        <w:t xml:space="preserve">**Voldoet:** alle vier bouwstenen zijn aanwezig en concreet herleidbaar tot een werkvorm uit een specifiek deel.</w:t>
      </w:r>
    </w:p>
    <w:p>
      <w:pPr>
        <w:pStyle w:val="ListParagraph"/>
        <w:numPr>
          <w:ilvl w:val="0"/>
          <w:numId w:val="1"/>
        </w:numPr>
        <w:spacing w:after="80"/>
      </w:pPr>
      <w:r>
        <w:rPr>
          <w:rFonts w:ascii="Calibri" w:cs="Calibri" w:eastAsia="Calibri" w:hAnsi="Calibri"/>
          <w:sz w:val="22"/>
          <w:szCs w:val="22"/>
        </w:rPr>
        <w:t xml:space="preserve">**Voldoet met hulp:** één bouwsteen ontbreekt of is te algemeen; de groep kan hem op verzoek alsnog concreet maken.</w:t>
      </w:r>
    </w:p>
    <w:p>
      <w:pPr>
        <w:pStyle w:val="ListParagraph"/>
        <w:numPr>
          <w:ilvl w:val="0"/>
          <w:numId w:val="1"/>
        </w:numPr>
        <w:spacing w:after="80"/>
      </w:pPr>
      <w:r>
        <w:rPr>
          <w:rFonts w:ascii="Calibri" w:cs="Calibri" w:eastAsia="Calibri" w:hAnsi="Calibri"/>
          <w:sz w:val="22"/>
          <w:szCs w:val="22"/>
        </w:rPr>
        <w:t xml:space="preserve">**Voldoet niet:** meerdere bouwstenen ontbreken, of het portfolio bestaat vooral uit herhaling van reader-tekst zonder eigen, casusgebonden invulling.</w:t>
      </w:r>
    </w:p>
    <w:p>
      <w:pPr>
        <w:pStyle w:val="Heading3"/>
        <w:spacing w:after="100" w:before="160"/>
      </w:pPr>
      <w:r>
        <w:rPr>
          <w:rFonts w:ascii="Georgia" w:cs="Georgia" w:eastAsia="Georgia" w:hAnsi="Georgia"/>
          <w:b/>
          <w:bCs/>
          <w:color w:val="1B2A4A"/>
          <w:sz w:val="24"/>
          <w:szCs w:val="24"/>
        </w:rPr>
        <w:t xml:space="preserve">Criterium 2 — Samenhang tussen bouwstenen (het onderscheidende criterium van dit deel)</w:t>
      </w:r>
    </w:p>
    <w:p>
      <w:pPr>
        <w:spacing w:after="140" w:line="300"/>
      </w:pPr>
      <w:r>
        <w:rPr>
          <w:rFonts w:ascii="Calibri" w:cs="Calibri" w:eastAsia="Calibri" w:hAnsi="Calibri"/>
          <w:b w:val="false"/>
          <w:bCs w:val="false"/>
          <w:i w:val="false"/>
          <w:iCs w:val="false"/>
          <w:sz w:val="22"/>
          <w:szCs w:val="22"/>
        </w:rPr>
        <w:t xml:space="preserve">Dit is het criterium waar deel 22 zich het meest onderscheidt van deel 10: niet de kwaliteit van één bouwsteen op zich, maar of de groep expliciet kan maken hoe minstens twee bouwstenen elkaar ondersteunen of, waar relevant, spanning met elkaar vertonen (zoals de kerndomeinkeuze en de teamgrenskaart-uitkomst in reader §22.6, waar Daan ze als wederzijdse bevestiging van dezelfde onopgeloste plek presenteert).</w:t>
      </w:r>
    </w:p>
    <w:p>
      <w:pPr>
        <w:pStyle w:val="ListParagraph"/>
        <w:numPr>
          <w:ilvl w:val="0"/>
          <w:numId w:val="1"/>
        </w:numPr>
        <w:spacing w:after="80"/>
      </w:pPr>
      <w:r>
        <w:rPr>
          <w:rFonts w:ascii="Calibri" w:cs="Calibri" w:eastAsia="Calibri" w:hAnsi="Calibri"/>
          <w:sz w:val="22"/>
          <w:szCs w:val="22"/>
        </w:rPr>
        <w:t xml:space="preserve">**Voldoet:** de groep maakt, zonder sturing, minstens twee koppels van bouwstenen expliciet en onderbouwt de samenhang met een concreet, uit het landschap afkomstig argument.</w:t>
      </w:r>
    </w:p>
    <w:p>
      <w:pPr>
        <w:pStyle w:val="ListParagraph"/>
        <w:numPr>
          <w:ilvl w:val="0"/>
          <w:numId w:val="1"/>
        </w:numPr>
        <w:spacing w:after="80"/>
      </w:pPr>
      <w:r>
        <w:rPr>
          <w:rFonts w:ascii="Calibri" w:cs="Calibri" w:eastAsia="Calibri" w:hAnsi="Calibri"/>
          <w:sz w:val="22"/>
          <w:szCs w:val="22"/>
        </w:rPr>
        <w:t xml:space="preserve">**Voldoet met hulp:** de groep herkent de samenhang pas na een gerichte vraag ("hoe verhoudt jullie kerndomeinkeuze zich tot jullie teamgrenskaart-uitkomst?"), maar kan hem dan wel goed onderbouwen.</w:t>
      </w:r>
    </w:p>
    <w:p>
      <w:pPr>
        <w:pStyle w:val="ListParagraph"/>
        <w:numPr>
          <w:ilvl w:val="0"/>
          <w:numId w:val="1"/>
        </w:numPr>
        <w:spacing w:after="80"/>
      </w:pPr>
      <w:r>
        <w:rPr>
          <w:rFonts w:ascii="Calibri" w:cs="Calibri" w:eastAsia="Calibri" w:hAnsi="Calibri"/>
          <w:sz w:val="22"/>
          <w:szCs w:val="22"/>
        </w:rPr>
        <w:t xml:space="preserve">**Voldoet niet:** de groep presenteert de vier bouwstenen als losse onderdelen zonder verband, ook niet na sturing — dit is het duidelijkste signaal van een oppervlakkig ja op portfolioniveau.</w:t>
      </w:r>
    </w:p>
    <w:p>
      <w:pPr>
        <w:pStyle w:val="Heading3"/>
        <w:spacing w:after="100" w:before="160"/>
      </w:pPr>
      <w:r>
        <w:rPr>
          <w:rFonts w:ascii="Georgia" w:cs="Georgia" w:eastAsia="Georgia" w:hAnsi="Georgia"/>
          <w:b/>
          <w:bCs/>
          <w:color w:val="1B2A4A"/>
          <w:sz w:val="24"/>
          <w:szCs w:val="24"/>
        </w:rPr>
        <w:t xml:space="preserve">Criterium 3 — Omgang met kritische bevraging per ronde</w:t>
      </w:r>
    </w:p>
    <w:p>
      <w:pPr>
        <w:spacing w:after="140" w:line="300"/>
      </w:pPr>
      <w:r>
        <w:rPr>
          <w:rFonts w:ascii="Calibri" w:cs="Calibri" w:eastAsia="Calibri" w:hAnsi="Calibri"/>
          <w:b w:val="false"/>
          <w:bCs w:val="false"/>
          <w:i w:val="false"/>
          <w:iCs w:val="false"/>
          <w:sz w:val="22"/>
          <w:szCs w:val="22"/>
        </w:rPr>
        <w:t xml:space="preserve">Beoordeel, per ronde uit reader §22.5, of het antwoord een oppervlakkig ja, een onderbouwd nee, of een eerlijke onzekerheid is (dezelfde herkenningspunten als in de docentenhandleiding van deel 10, §5, nu toegepast op landschap-brede vragen in plaats van op één model). Geef, net als bij deel 10, na elke ronde korte mondelinge terugkoppeling in plaats van pas aan het eind.</w:t>
      </w:r>
    </w:p>
    <w:p>
      <w:pPr>
        <w:pStyle w:val="Heading3"/>
        <w:spacing w:after="100" w:before="160"/>
      </w:pPr>
      <w:r>
        <w:rPr>
          <w:rFonts w:ascii="Georgia" w:cs="Georgia" w:eastAsia="Georgia" w:hAnsi="Georgia"/>
          <w:b/>
          <w:bCs/>
          <w:color w:val="1B2A4A"/>
          <w:sz w:val="24"/>
          <w:szCs w:val="24"/>
        </w:rPr>
        <w:t xml:space="preserve">Criterium 4 — Eerlijkheid over openstaande vragen</w:t>
      </w:r>
    </w:p>
    <w:p>
      <w:pPr>
        <w:spacing w:after="140" w:line="300"/>
      </w:pPr>
      <w:r>
        <w:rPr>
          <w:rFonts w:ascii="Calibri" w:cs="Calibri" w:eastAsia="Calibri" w:hAnsi="Calibri"/>
          <w:b w:val="false"/>
          <w:bCs w:val="false"/>
          <w:i w:val="false"/>
          <w:iCs w:val="false"/>
          <w:sz w:val="22"/>
          <w:szCs w:val="22"/>
        </w:rPr>
        <w:t xml:space="preserve">Benoemt de groep expliciet, zonder dat erop wordt aangedrongen, welke vraag over het landschap nog open ligt (zoals de samenloopvraag van de actuaris in reader §22.6), met een concrete reden waarom dat nu nog niet is uitgewerkt — of doet de groep alsof het portfolio compleet en zonder losse einden is?</w:t>
      </w:r>
    </w:p>
    <w:p>
      <w:pPr>
        <w:pStyle w:val="ListParagraph"/>
        <w:numPr>
          <w:ilvl w:val="0"/>
          <w:numId w:val="1"/>
        </w:numPr>
        <w:spacing w:after="80"/>
      </w:pPr>
      <w:r>
        <w:rPr>
          <w:rFonts w:ascii="Calibri" w:cs="Calibri" w:eastAsia="Calibri" w:hAnsi="Calibri"/>
          <w:sz w:val="22"/>
          <w:szCs w:val="22"/>
        </w:rPr>
        <w:t xml:space="preserve">**Voldoet:** de groep benoemt uit zichzelf minstens één concrete openstaande vraag, met een reden.</w:t>
      </w:r>
    </w:p>
    <w:p>
      <w:pPr>
        <w:pStyle w:val="ListParagraph"/>
        <w:numPr>
          <w:ilvl w:val="0"/>
          <w:numId w:val="1"/>
        </w:numPr>
        <w:spacing w:after="80"/>
      </w:pPr>
      <w:r>
        <w:rPr>
          <w:rFonts w:ascii="Calibri" w:cs="Calibri" w:eastAsia="Calibri" w:hAnsi="Calibri"/>
          <w:sz w:val="22"/>
          <w:szCs w:val="22"/>
        </w:rPr>
        <w:t xml:space="preserve">**Voldoet met hulp:** de groep erkent een openstaande vraag pas als een bevrager er expliciet naar vraagt.</w:t>
      </w:r>
    </w:p>
    <w:p>
      <w:pPr>
        <w:pStyle w:val="ListParagraph"/>
        <w:numPr>
          <w:ilvl w:val="0"/>
          <w:numId w:val="1"/>
        </w:numPr>
        <w:spacing w:after="80"/>
      </w:pPr>
      <w:r>
        <w:rPr>
          <w:rFonts w:ascii="Calibri" w:cs="Calibri" w:eastAsia="Calibri" w:hAnsi="Calibri"/>
          <w:sz w:val="22"/>
          <w:szCs w:val="22"/>
        </w:rPr>
        <w:t xml:space="preserve">**Voldoet niet:** de groep ontkent of bagatelliseert een aangewezen hiaat in plaats van het te erkennen — dit is ernstiger dan een hiaat zelf, en verdient directe, expliciete correctie tijdens de sessie.</w:t>
      </w:r>
    </w:p>
    <w:p>
      <w:pPr>
        <w:pStyle w:val="Heading3"/>
        <w:spacing w:after="100" w:before="160"/>
      </w:pPr>
      <w:r>
        <w:rPr>
          <w:rFonts w:ascii="Georgia" w:cs="Georgia" w:eastAsia="Georgia" w:hAnsi="Georgia"/>
          <w:b/>
          <w:bCs/>
          <w:color w:val="1B2A4A"/>
          <w:sz w:val="24"/>
          <w:szCs w:val="24"/>
        </w:rPr>
        <w:t xml:space="preserve">Hoe je de vier criteria samen weegt</w:t>
      </w:r>
    </w:p>
    <w:p>
      <w:pPr>
        <w:spacing w:after="140" w:line="300"/>
      </w:pPr>
      <w:r>
        <w:rPr>
          <w:rFonts w:ascii="Calibri" w:cs="Calibri" w:eastAsia="Calibri" w:hAnsi="Calibri"/>
          <w:b w:val="false"/>
          <w:bCs w:val="false"/>
          <w:i w:val="false"/>
          <w:iCs w:val="false"/>
          <w:sz w:val="22"/>
          <w:szCs w:val="22"/>
        </w:rPr>
        <w:t xml:space="preserve">Geen van de vier criteria staat op zichzelf te wegen tot een eindoordeel — dit deel kent, net als deel 10, geen cijfer. Gebruik de vier criteria als gespreksleidraad voor de nabespreking na elke groep: waar zat de sterkste samenhang, waar het duidelijkste hiaat, en welk criterium verdient bij een volgende gelegenheid (bijvoorbeeld het portfolio dat een deelnemer meeneemt naar een echte werkomgeving) de meeste aandacht? Criterium 2 (samenhang) weegt in de praktijk het zwaarst, omdat het precies is wat dit deel onderscheidt van elk eerder deel in niveau 2 — een groep die op criterium 1, 3 en 4 sterk scoort maar op criterium 2 zwak, heeft in feite elf losse opdrachten afgerond zonder de opdracht van dit deel zelf te hebben gedaan.</w:t>
      </w:r>
    </w:p>
    <w:p>
      <w:pPr>
        <w:pStyle w:val="Heading2"/>
        <w:spacing w:after="120" w:before="200"/>
      </w:pPr>
      <w:r>
        <w:rPr>
          <w:rFonts w:ascii="Georgia" w:cs="Georgia" w:eastAsia="Georgia" w:hAnsi="Georgia"/>
          <w:b/>
          <w:bCs/>
          <w:color w:val="2C5AA0"/>
          <w:sz w:val="28"/>
          <w:szCs w:val="28"/>
        </w:rPr>
        <w:t xml:space="preserve">6. Veelgemaakte fouten en hoe je erop reageert</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tblGrid>
      <w:tr>
        <w:trPr>
          <w:tblHeader/>
        </w:trPr>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Wat je ziet</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Wat er speelt</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Wat je doet</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Het portfolio is een opsomming van de elf werkvormen zonder verbindende tekst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Criterium 2 wordt overgeslagen; de groep denkt dat "compleet" hetzelfde is als "samenhangend"</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Vraag: "als ik twee van deze elf werkvormen zou wegstrepen, welke twee zouden dan het minste gemist worden — en waarom juist die twee wél?"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Ronde 4 (Iris, de samenhangsvraag) levert een oppervlakkig ja op dat feitelijk twee bouwstenen los naast elkaar herhaalt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 groep heeft de samenhang nooit vooraf, in opdracht 6, echt doordacht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Verwijs terug naar opdracht 6; vraag concreet naar het koppel dat daar is uitgewerkt</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Een vraag over een openstaande kwestie (samenloop, groeiende teams) wordt beantwoord met een verzonnen zekerheid in plaats van een eerlijke onzekerheid</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 groep voelt onterecht dat "we weten het nog niet" een zwak antwoord is</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Herhaal expliciet, zoals in deel 10, dat een eerlijke onzekerheid met een concrete vervolgstap sterker is dan een gehaaste, ongefundeerde zekerheid</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 groep verdedigt elke keuze als losstaand correct, zonder ooit een alternatief te overwegen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Het onderbouwde nee ontbreekt — er wordt alleen bevestigd, nooit een alternatief weerlegd</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Vraag expliciet: "wat was het meest verleidelijke alternatief voor deze keuze, en waarom is dat hier niet gekozen?"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Ronde 1 (compliance-adviseur) leidt tot uitleg die veronderstelt dat de bevrager de context map al kent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Het team vergeet dat deze rol het landschap voor het eerst ziet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Herinner eraan dat deze rol, anders dan de andere drie, bewust zonder voorkennis is gebriefd — een antwoord met onuitgelegde afkortingen of jargon faalt hier al op vorm</w:t>
            </w:r>
          </w:p>
        </w:tc>
      </w:tr>
    </w:tbl>
    <w:p>
      <w:pPr>
        <w:pStyle w:val="Heading2"/>
        <w:spacing w:after="120" w:before="200"/>
      </w:pPr>
      <w:r>
        <w:rPr>
          <w:rFonts w:ascii="Georgia" w:cs="Georgia" w:eastAsia="Georgia" w:hAnsi="Georgia"/>
          <w:b/>
          <w:bCs/>
          <w:color w:val="2C5AA0"/>
          <w:sz w:val="28"/>
          <w:szCs w:val="28"/>
        </w:rPr>
        <w:t xml:space="preserve">7. Afsluiting van niveau 2</w:t>
      </w:r>
    </w:p>
    <w:p>
      <w:pPr>
        <w:spacing w:after="140" w:line="300"/>
      </w:pPr>
      <w:r>
        <w:rPr>
          <w:rFonts w:ascii="Calibri" w:cs="Calibri" w:eastAsia="Calibri" w:hAnsi="Calibri"/>
          <w:b w:val="false"/>
          <w:bCs w:val="false"/>
          <w:i w:val="false"/>
          <w:iCs w:val="false"/>
          <w:sz w:val="22"/>
          <w:szCs w:val="22"/>
        </w:rPr>
        <w:t xml:space="preserve">Sluit de sessie, en daarmee niveau 2, gezamenlijk af met drie stappen:</w:t>
      </w:r>
    </w:p>
    <w:p>
      <w:pPr>
        <w:pStyle w:val="ListParagraph"/>
        <w:numPr>
          <w:ilvl w:val="0"/>
          <w:numId w:val="1"/>
        </w:numPr>
        <w:spacing w:after="80"/>
      </w:pPr>
      <w:r>
        <w:rPr>
          <w:rFonts w:ascii="Calibri" w:cs="Calibri" w:eastAsia="Calibri" w:hAnsi="Calibri"/>
          <w:sz w:val="22"/>
          <w:szCs w:val="22"/>
        </w:rPr>
        <w:t xml:space="preserve">Laat elke groep in één zin benoemen welke vraag uit de portfoliosessie hen het meest heeft laten nadenken, en waarom — bij voorkeur een vraag uit ronde 4 (de samenhang), omdat die het scherpst laat zien wat dit deel toevoegt aan elf eerdere delen.</w:t>
      </w:r>
    </w:p>
    <w:p>
      <w:pPr>
        <w:pStyle w:val="ListParagraph"/>
        <w:numPr>
          <w:ilvl w:val="0"/>
          <w:numId w:val="1"/>
        </w:numPr>
        <w:spacing w:after="80"/>
      </w:pPr>
      <w:r>
        <w:rPr>
          <w:rFonts w:ascii="Calibri" w:cs="Calibri" w:eastAsia="Calibri" w:hAnsi="Calibri"/>
          <w:sz w:val="22"/>
          <w:szCs w:val="22"/>
        </w:rPr>
        <w:t xml:space="preserve">Herhaal expliciet dat het Mutatieplatform zelf niet is gebouwd binnen deze cursus, maar dat het landschap waarin het gebouwd zal worden, nu volledig in kaart is gebracht en één keer als geheel verdedigd.</w:t>
      </w:r>
    </w:p>
    <w:p>
      <w:pPr>
        <w:pStyle w:val="ListParagraph"/>
        <w:numPr>
          <w:ilvl w:val="0"/>
          <w:numId w:val="1"/>
        </w:numPr>
        <w:spacing w:after="80"/>
      </w:pPr>
      <w:r>
        <w:rPr>
          <w:rFonts w:ascii="Calibri" w:cs="Calibri" w:eastAsia="Calibri" w:hAnsi="Calibri"/>
          <w:sz w:val="22"/>
          <w:szCs w:val="22"/>
        </w:rPr>
        <w:t xml:space="preserve">Geef de vooruitblik naar niveau 3 (reader §22.7): de eerlijke onzekerheden die in dit deel zijn benoemd — samenloop tijdens de Wtp-overgang, groeiende druk op te kleine teams — komen in niveau 3 niet als nieuw onderwerp terug, maar als de druk die de Stelselovergang en het fusiescenario daadwerkelijk op het landschap uitoefenen. Daan, die in niveau 2 het complete landschap in kaart bracht, wordt in niveau 3 de architect die een context-mappingbesluit over een overname bestuurlijk moet verdedigen.</w:t>
      </w:r>
    </w:p>
    <w:p>
      <w:pPr>
        <w:pStyle w:val="Heading2"/>
        <w:spacing w:after="120" w:before="200"/>
      </w:pPr>
      <w:r>
        <w:rPr>
          <w:rFonts w:ascii="Georgia" w:cs="Georgia" w:eastAsia="Georgia" w:hAnsi="Georgia"/>
          <w:b/>
          <w:bCs/>
          <w:color w:val="2C5AA0"/>
          <w:sz w:val="28"/>
          <w:szCs w:val="28"/>
        </w:rPr>
        <w:t xml:space="preserve">8. Materiaal</w:t>
      </w:r>
    </w:p>
    <w:p>
      <w:pPr>
        <w:pStyle w:val="ListParagraph"/>
        <w:numPr>
          <w:ilvl w:val="0"/>
          <w:numId w:val="1"/>
        </w:numPr>
        <w:spacing w:after="80"/>
      </w:pPr>
      <w:r>
        <w:rPr>
          <w:rFonts w:ascii="Calibri" w:cs="Calibri" w:eastAsia="Calibri" w:hAnsi="Calibri"/>
          <w:sz w:val="22"/>
          <w:szCs w:val="22"/>
        </w:rPr>
        <w:t xml:space="preserve">Casusdossier niveau 2 (volledig, met name §5 en §6)</w:t>
      </w:r>
    </w:p>
    <w:p>
      <w:pPr>
        <w:pStyle w:val="ListParagraph"/>
        <w:numPr>
          <w:ilvl w:val="0"/>
          <w:numId w:val="1"/>
        </w:numPr>
        <w:spacing w:after="80"/>
      </w:pPr>
      <w:r>
        <w:rPr>
          <w:rFonts w:ascii="Calibri" w:cs="Calibri" w:eastAsia="Calibri" w:hAnsi="Calibri"/>
          <w:sz w:val="22"/>
          <w:szCs w:val="22"/>
        </w:rPr>
        <w:t xml:space="preserve">Werkboek deel 22, inclusief de volledige vragenbank van deel A</w:t>
      </w:r>
    </w:p>
    <w:p>
      <w:pPr>
        <w:pStyle w:val="ListParagraph"/>
        <w:numPr>
          <w:ilvl w:val="0"/>
          <w:numId w:val="1"/>
        </w:numPr>
        <w:spacing w:after="80"/>
      </w:pPr>
      <w:r>
        <w:rPr>
          <w:rFonts w:ascii="Calibri" w:cs="Calibri" w:eastAsia="Calibri" w:hAnsi="Calibri"/>
          <w:sz w:val="22"/>
          <w:szCs w:val="22"/>
        </w:rPr>
        <w:t xml:space="preserve">Slidedeck deel 22</w:t>
      </w:r>
    </w:p>
    <w:p>
      <w:pPr>
        <w:pStyle w:val="ListParagraph"/>
        <w:numPr>
          <w:ilvl w:val="0"/>
          <w:numId w:val="1"/>
        </w:numPr>
        <w:spacing w:after="80"/>
      </w:pPr>
      <w:r>
        <w:rPr>
          <w:rFonts w:ascii="Calibri" w:cs="Calibri" w:eastAsia="Calibri" w:hAnsi="Calibri"/>
          <w:sz w:val="22"/>
          <w:szCs w:val="22"/>
        </w:rPr>
        <w:t xml:space="preserve">Alle elf ingevulde werkvormen van elke deelnemer (landschapskaart tot en met integratieblad), meegebracht vanuit deel 11 t/m 21</w:t>
      </w:r>
    </w:p>
    <w:p>
      <w:pPr>
        <w:pStyle w:val="ListParagraph"/>
        <w:numPr>
          <w:ilvl w:val="0"/>
          <w:numId w:val="1"/>
        </w:numPr>
        <w:spacing w:after="80"/>
      </w:pPr>
      <w:r>
        <w:rPr>
          <w:rFonts w:ascii="Calibri" w:cs="Calibri" w:eastAsia="Calibri" w:hAnsi="Calibri"/>
          <w:sz w:val="22"/>
          <w:szCs w:val="22"/>
        </w:rPr>
        <w:t xml:space="preserve">Rubric-kaarten (de vier criteria uit §5) voor elke bevrager, om tijdens de sessie te kunnen noteren</w:t>
      </w:r>
    </w:p>
    <w:p>
      <w:pPr>
        <w:pStyle w:val="ListParagraph"/>
        <w:numPr>
          <w:ilvl w:val="0"/>
          <w:numId w:val="1"/>
        </w:numPr>
        <w:spacing w:after="80"/>
      </w:pPr>
      <w:r>
        <w:rPr>
          <w:rFonts w:ascii="Calibri" w:cs="Calibri" w:eastAsia="Calibri" w:hAnsi="Calibri"/>
          <w:sz w:val="22"/>
          <w:szCs w:val="22"/>
        </w:rPr>
        <w:t xml:space="preserve">Eventueel: vier gebriefde gastdocenten of collega-trainers voor de vier bevragende rollen (zie §4)</w:t>
      </w:r>
    </w:p>
    <w:p>
      <w:pPr>
        <w:pStyle w:val="Heading2"/>
        <w:spacing w:after="120" w:before="200"/>
      </w:pPr>
      <w:r>
        <w:rPr>
          <w:rFonts w:ascii="Georgia" w:cs="Georgia" w:eastAsia="Georgia" w:hAnsi="Georgia"/>
          <w:b/>
          <w:bCs/>
          <w:color w:val="2C5AA0"/>
          <w:sz w:val="28"/>
          <w:szCs w:val="28"/>
        </w:rPr>
        <w:t xml:space="preserve">9. Aantekeningen voor de docent over de examenlijn en de afsluiting van niveau 2</w:t>
      </w:r>
    </w:p>
    <w:p>
      <w:pPr>
        <w:pStyle w:val="ListParagraph"/>
        <w:numPr>
          <w:ilvl w:val="0"/>
          <w:numId w:val="1"/>
        </w:numPr>
        <w:spacing w:after="80"/>
      </w:pPr>
      <w:r>
        <w:rPr>
          <w:rFonts w:ascii="Calibri" w:cs="Calibri" w:eastAsia="Calibri" w:hAnsi="Calibri"/>
          <w:sz w:val="22"/>
          <w:szCs w:val="22"/>
        </w:rPr>
        <w:t xml:space="preserve">De echte iSAQB Advanced-module DDD levert geen zelfstandig certificaat, maar credit points binnen CPSA-A (opzetdocument, §1.2). Herhaal deze positionering bij dit afsluitende deel nog eenmaal expliciet: deze cursus is voorbereiding, geen vervanging, en credit points zijn alleen te verzilveren via een erkende iSAQB-trainingsprovider.</w:t>
      </w:r>
    </w:p>
    <w:p>
      <w:pPr>
        <w:pStyle w:val="ListParagraph"/>
        <w:numPr>
          <w:ilvl w:val="0"/>
          <w:numId w:val="1"/>
        </w:numPr>
        <w:spacing w:after="80"/>
      </w:pPr>
      <w:r>
        <w:rPr>
          <w:rFonts w:ascii="Calibri" w:cs="Calibri" w:eastAsia="Calibri" w:hAnsi="Calibri"/>
          <w:sz w:val="22"/>
          <w:szCs w:val="22"/>
        </w:rPr>
        <w:t xml:space="preserve">De vorm van de portfoliosessie in dit deel is bewust gemodelleerd naar de vorm van de echte CPSA-A-capstone (een schriftelijke architectuuropdracht gevolgd door mondelinge verdediging voor twee examinatoren), op grotere schaal dan deel 10 maar nog steeds zonder de formele NDA- en taakkeuzeprocedure die bij CPSA-A hoort. Wie na deze cursus daadwerkelijk CPSA-A wil behalen, oefent die volledige vorm uitgebreider in niveau 3, deel 29.</w:t>
      </w:r>
    </w:p>
    <w:p>
      <w:pPr>
        <w:pStyle w:val="ListParagraph"/>
        <w:numPr>
          <w:ilvl w:val="0"/>
          <w:numId w:val="1"/>
        </w:numPr>
        <w:spacing w:after="80"/>
      </w:pPr>
      <w:r>
        <w:rPr>
          <w:rFonts w:ascii="Calibri" w:cs="Calibri" w:eastAsia="Calibri" w:hAnsi="Calibri"/>
          <w:sz w:val="22"/>
          <w:szCs w:val="22"/>
        </w:rPr>
        <w:t xml:space="preserve">Als deelnemers vragen of deze sessie "meetelt" voor iets, wees daarin volstrekt helder: nee — dit is oefenstof, geen erkende toetsing, en geen enkel onderdeel van deze cursus kent credit points toe op zichzelf.</w:t>
      </w:r>
    </w:p>
    <w:p>
      <w:pPr>
        <w:pStyle w:val="ListParagraph"/>
        <w:numPr>
          <w:ilvl w:val="0"/>
          <w:numId w:val="1"/>
        </w:numPr>
        <w:spacing w:after="80"/>
      </w:pPr>
      <w:r>
        <w:rPr>
          <w:rFonts w:ascii="Calibri" w:cs="Calibri" w:eastAsia="Calibri" w:hAnsi="Calibri"/>
          <w:sz w:val="22"/>
          <w:szCs w:val="22"/>
        </w:rPr>
        <w:t xml:space="preserve">**Dit deel rondt niveau 2 volledig af.** Vanaf niveau 3 verschuift de casus naar de Stelselovergang en het fusiescenario; niveau 2 en niveau 3 delen dezelfde hoofdpersoon (Daan) maar hebben elk hun eigen, zelfstandig leesbare casusdossier — een deelnemer die alleen niveau 2 heeft gevolgd, hoeft niveau 3 niet gelezen te hebben om dit deel te kunnen afsluiten, en andersom.</w:t>
      </w:r>
    </w:p>
    <w:p>
      <w:pPr>
        <w:pStyle w:val="ListParagraph"/>
        <w:numPr>
          <w:ilvl w:val="0"/>
          <w:numId w:val="1"/>
        </w:numPr>
        <w:spacing w:after="80"/>
      </w:pPr>
      <w:r>
        <w:rPr>
          <w:rFonts w:ascii="Calibri" w:cs="Calibri" w:eastAsia="Calibri" w:hAnsi="Calibri"/>
          <w:sz w:val="22"/>
          <w:szCs w:val="22"/>
        </w:rPr>
        <w:t xml:space="preserve">Bewaar bij een eventuele latere revisie het onderscheid tussen deel 10 en deel 22: deel 10 verdedigt één klein, volledig zelfgebouwd model; deel 22 bundelt en verdedigt een landschap-breed geheel waarvan het team weliswaar elk onderdeel zelf heeft opgeleverd, maar waarvan de samenhang — niet de losse onderdelen — het onderscheidende leerdoel van dit deel is.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Domain-Driven Design · Niveau 2 · Deel 22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2026-08-16T19:18:57.880Z</dcterms:created>
  <dcterms:modified xsi:type="dcterms:W3CDTF">2026-08-16T19:18:57.880Z</dcterms:modified>
</cp:coreProperties>
</file>

<file path=docProps/custom.xml><?xml version="1.0" encoding="utf-8"?>
<Properties xmlns="http://schemas.openxmlformats.org/officeDocument/2006/custom-properties" xmlns:vt="http://schemas.openxmlformats.org/officeDocument/2006/docPropsVTypes"/>
</file>