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22 — Examentraining iSAQB-module (strategisch deel) + portfolio</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22 van 30 — afsluiting van niveau 2</w:t>
      </w:r>
    </w:p>
    <w:p>
      <w:pPr>
        <w:spacing w:after="140" w:line="300"/>
      </w:pPr>
      <w:r>
        <w:rPr>
          <w:rFonts w:ascii="Calibri" w:cs="Calibri" w:eastAsia="Calibri" w:hAnsi="Calibri"/>
          <w:b w:val="false"/>
          <w:bCs w:val="false"/>
          <w:i w:val="false"/>
          <w:iCs w:val="false"/>
          <w:sz w:val="22"/>
          <w:szCs w:val="22"/>
        </w:rPr>
        <w:t xml:space="preserve">Twee delen, samen ongeveer een dagdeel. Deel A (opdracht 1 tot en met 4) is de individuele en klassikale examentraining met een eigen strategische vragenbank; deel B (opdracht 5 tot en met 8) is de voorbereiding op en uitvoering van de portfoliosessie in groepen. De uitwerkingen van deel A staan achterin; deel B heeft geen vaste uitwerking omdat de sessie live plaatsvindt — wel een beoordelingskader, dat ook in de docentenhandleiding staat.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A — Examentraining: de strategische vragenbank</w:t>
      </w:r>
    </w:p>
    <w:p>
      <w:pPr>
        <w:spacing w:after="140" w:line="300"/>
      </w:pPr>
      <w:r>
        <w:rPr>
          <w:rFonts w:ascii="Calibri" w:cs="Calibri" w:eastAsia="Calibri" w:hAnsi="Calibri"/>
          <w:b w:val="false"/>
          <w:bCs w:val="false"/>
          <w:i w:val="false"/>
          <w:iCs w:val="false"/>
          <w:sz w:val="22"/>
          <w:szCs w:val="22"/>
        </w:rPr>
        <w:t xml:space="preserve">Eigen vragenbank in de stijl van de iSAQB Advanced-module DDD, strategisch deel. Geen echte examenvragen. Elke vraag vraagt om een patroon- of classificatiekeuze én een onderbouwing van maximaal drie zinnen die het verschil met het meest verleidelijke alternatief benoemt.</w:t>
      </w:r>
    </w:p>
    <w:p>
      <w:pPr>
        <w:pStyle w:val="Heading3"/>
        <w:spacing w:after="100" w:before="160"/>
      </w:pPr>
      <w:r>
        <w:rPr>
          <w:rFonts w:ascii="Georgia" w:cs="Georgia" w:eastAsia="Georgia" w:hAnsi="Georgia"/>
          <w:b/>
          <w:bCs/>
          <w:color w:val="1B2A4A"/>
          <w:sz w:val="24"/>
          <w:szCs w:val="24"/>
        </w:rPr>
        <w:t xml:space="preserve">Opdracht 1 — Vijf scenariovragen, individueel (35 min)</w:t>
      </w:r>
    </w:p>
    <w:p>
      <w:pPr>
        <w:spacing w:after="140" w:line="300"/>
      </w:pPr>
      <w:r>
        <w:rPr>
          <w:rFonts w:ascii="Calibri" w:cs="Calibri" w:eastAsia="Calibri" w:hAnsi="Calibri"/>
          <w:b/>
          <w:bCs/>
          <w:i w:val="false"/>
          <w:iCs w:val="false"/>
          <w:sz w:val="22"/>
          <w:szCs w:val="22"/>
        </w:rPr>
        <w:t xml:space="preserve">Vraag 1.</w:t>
      </w:r>
      <w:r>
        <w:rPr>
          <w:rFonts w:ascii="Calibri" w:cs="Calibri" w:eastAsia="Calibri" w:hAnsi="Calibri"/>
          <w:b w:val="false"/>
          <w:bCs w:val="false"/>
          <w:i w:val="false"/>
          <w:iCs w:val="false"/>
          <w:sz w:val="22"/>
          <w:szCs w:val="22"/>
        </w:rPr>
        <w:t xml:space="preserve"> Een uitgeverij heeft een redactieafdeling die manuscripten beoordeelt en een drukkerijafdeling die dezelfde manuscripten fysiek produceert. Beide afdelingen zijn, na een reorganisatie, verplicht binnen hetzelfde programma tegelijk een nieuw planningssysteem te bouwen, en geen van beide kan zonder voortdurende afstemming met de ander vooruit: een wijziging in het redactieproces raakt onmiddellijk de productieplanning, en andersom. Welk context-mappingpatroon past hier het beste?</w:t>
      </w:r>
    </w:p>
    <w:p>
      <w:pPr>
        <w:spacing w:after="140" w:line="300"/>
      </w:pPr>
      <w:r>
        <w:rPr>
          <w:rFonts w:ascii="Calibri" w:cs="Calibri" w:eastAsia="Calibri" w:hAnsi="Calibri"/>
          <w:b/>
          <w:bCs/>
          <w:i w:val="false"/>
          <w:iCs w:val="false"/>
          <w:sz w:val="22"/>
          <w:szCs w:val="22"/>
        </w:rPr>
        <w:t xml:space="preserve">Vraag 2.</w:t>
      </w:r>
      <w:r>
        <w:rPr>
          <w:rFonts w:ascii="Calibri" w:cs="Calibri" w:eastAsia="Calibri" w:hAnsi="Calibri"/>
          <w:b w:val="false"/>
          <w:bCs w:val="false"/>
          <w:i w:val="false"/>
          <w:iCs w:val="false"/>
          <w:sz w:val="22"/>
          <w:szCs w:val="22"/>
        </w:rPr>
        <w:t xml:space="preserve"> Een gemeente beheert een kernregistratie van inwoners die door vrijwel elke andere gemeentelijke afdeling wordt geraadpleegd, maar nooit gewijzigd — alle afdelingen nemen de gegevens over zoals de kernregistratie ze aanlevert, zonder ooit te onderhandelen over een eigen vertaling. Welk patroon beschrijft deze relatie, en is dat noodzakelijk een probleem?</w:t>
      </w:r>
    </w:p>
    <w:p>
      <w:pPr>
        <w:spacing w:after="140" w:line="300"/>
      </w:pPr>
      <w:r>
        <w:rPr>
          <w:rFonts w:ascii="Calibri" w:cs="Calibri" w:eastAsia="Calibri" w:hAnsi="Calibri"/>
          <w:b/>
          <w:bCs/>
          <w:i w:val="false"/>
          <w:iCs w:val="false"/>
          <w:sz w:val="22"/>
          <w:szCs w:val="22"/>
        </w:rPr>
        <w:t xml:space="preserve">Vraag 3.</w:t>
      </w:r>
      <w:r>
        <w:rPr>
          <w:rFonts w:ascii="Calibri" w:cs="Calibri" w:eastAsia="Calibri" w:hAnsi="Calibri"/>
          <w:b w:val="false"/>
          <w:bCs w:val="false"/>
          <w:i w:val="false"/>
          <w:iCs w:val="false"/>
          <w:sz w:val="22"/>
          <w:szCs w:val="22"/>
        </w:rPr>
        <w:t xml:space="preserve"> Een streamingdienst heeft een team dat het abonnementenbeheer bouwt en een team dat het aanbevelingsalgoritme bouwt. Beide teams gebruiken het woord "gebruiker", maar het abonnemententeam bedoelt daarmee "een betalende rekeninghouder met een factuuradres", en het aanbevelingsteam bedoelt daarmee "een kijkprofiel met een voorkeurspatroon" — de twee teams zijn zich hier tot nu toe niet van bewust. Is dit een probleem dat om een gedeeld model (shared kernel) vraagt, of om iets anders? Onderbouw.</w:t>
      </w:r>
    </w:p>
    <w:p>
      <w:pPr>
        <w:spacing w:after="140" w:line="300"/>
      </w:pPr>
      <w:r>
        <w:rPr>
          <w:rFonts w:ascii="Calibri" w:cs="Calibri" w:eastAsia="Calibri" w:hAnsi="Calibri"/>
          <w:b/>
          <w:bCs/>
          <w:i w:val="false"/>
          <w:iCs w:val="false"/>
          <w:sz w:val="22"/>
          <w:szCs w:val="22"/>
        </w:rPr>
        <w:t xml:space="preserve">Vraag 4.</w:t>
      </w:r>
      <w:r>
        <w:rPr>
          <w:rFonts w:ascii="Calibri" w:cs="Calibri" w:eastAsia="Calibri" w:hAnsi="Calibri"/>
          <w:b w:val="false"/>
          <w:bCs w:val="false"/>
          <w:i w:val="false"/>
          <w:iCs w:val="false"/>
          <w:sz w:val="22"/>
          <w:szCs w:val="22"/>
        </w:rPr>
        <w:t xml:space="preserve"> Een logistiek bedrijf heeft, naast zijn kernactiviteit (routeplanning), ook een intern facturatiesysteem dat inhoudelijk niet wezenlijk verschilt van wat elk willekeurig ander bedrijf nodig heeft. Hoe zou je dit onderdeel classificeren binnen core/supporting/generic, en wat is de consequentie van die classificatie voor waar het bedrijf zijn beste ontwikkelaars op zou moeten zetten?</w:t>
      </w:r>
    </w:p>
    <w:p>
      <w:pPr>
        <w:spacing w:after="140" w:line="300"/>
      </w:pPr>
      <w:r>
        <w:rPr>
          <w:rFonts w:ascii="Calibri" w:cs="Calibri" w:eastAsia="Calibri" w:hAnsi="Calibri"/>
          <w:b/>
          <w:bCs/>
          <w:i w:val="false"/>
          <w:iCs w:val="false"/>
          <w:sz w:val="22"/>
          <w:szCs w:val="22"/>
        </w:rPr>
        <w:t xml:space="preserve">Vraag 5.</w:t>
      </w:r>
      <w:r>
        <w:rPr>
          <w:rFonts w:ascii="Calibri" w:cs="Calibri" w:eastAsia="Calibri" w:hAnsi="Calibri"/>
          <w:b w:val="false"/>
          <w:bCs w:val="false"/>
          <w:i w:val="false"/>
          <w:iCs w:val="false"/>
          <w:sz w:val="22"/>
          <w:szCs w:val="22"/>
        </w:rPr>
        <w:t xml:space="preserve"> Een ziekenhuis wil, voordat het een nieuw patiëntendossiersysteem bouwt, eerst met artsen, verpleegkundigen en de afdeling planning gezamenlijk in kaart brengen welke gebeurtenissen er in het complete zorgproces plaatsvinden, van opname tot ontslag — zonder dat er al een systeemgrens is vastgelegd. Welke techniek uit deze cursus past hier het beste als eerste stap, en waarom niet meteen beginnen met het uittekenen van bounded contexts?</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2 — Zelfcorrectie in tweetallen (20 min)</w:t>
      </w:r>
    </w:p>
    <w:p>
      <w:pPr>
        <w:spacing w:after="140" w:line="300"/>
      </w:pPr>
      <w:r>
        <w:rPr>
          <w:rFonts w:ascii="Calibri" w:cs="Calibri" w:eastAsia="Calibri" w:hAnsi="Calibri"/>
          <w:b w:val="false"/>
          <w:bCs w:val="false"/>
          <w:i w:val="false"/>
          <w:iCs w:val="false"/>
          <w:sz w:val="22"/>
          <w:szCs w:val="22"/>
        </w:rPr>
        <w:t xml:space="preserve">Wissel je antwoorden op opdracht 1 met een partner. Beoordeel elkaars antwoorden niet op "goed of fout", maar op de vraag: benoemt de onderbouwing expliciet waarom het meest verleidelijke alternatief hier niet past, of blijft de onderbouwing steken bij het herhalen van de conclusie? Geef bij minstens twee antwoorden een concrete suggestie om de onderbouwing scherper te maken.</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3 — Zelf een scenariovraag schrijven (20 min)</w:t>
      </w:r>
    </w:p>
    <w:p>
      <w:pPr>
        <w:spacing w:after="140" w:line="300"/>
      </w:pPr>
      <w:r>
        <w:rPr>
          <w:rFonts w:ascii="Calibri" w:cs="Calibri" w:eastAsia="Calibri" w:hAnsi="Calibri"/>
          <w:b w:val="false"/>
          <w:bCs w:val="false"/>
          <w:i w:val="false"/>
          <w:iCs w:val="false"/>
          <w:sz w:val="22"/>
          <w:szCs w:val="22"/>
        </w:rPr>
        <w:t xml:space="preserve">Schrijf, in de stijl van opdracht 1, een eigen scenariovraag over een van de strategische onderwerpen van niveau 2 (context mapping, core/supporting/generic, EventStorming/domain storytelling/example mapping, Conway's Law/teamtopologieën, of domain events als integratiemiddel), gebaseerd op een organisatie die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Meridiaan, de uitgeverij, de gemeente, de streamingdienst, het logistiek bedrijf of het ziekenhuis is. Formuleer ook je eigen modelantwoord. Wissel met een ander tweetal en beantwoord elkaars vraag.</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4 — Klassikale bespreking (15 min, plenair)</w:t>
      </w:r>
    </w:p>
    <w:p>
      <w:pPr>
        <w:spacing w:after="140" w:line="300"/>
      </w:pPr>
      <w:r>
        <w:rPr>
          <w:rFonts w:ascii="Calibri" w:cs="Calibri" w:eastAsia="Calibri" w:hAnsi="Calibri"/>
          <w:b w:val="false"/>
          <w:bCs w:val="false"/>
          <w:i w:val="false"/>
          <w:iCs w:val="false"/>
          <w:sz w:val="22"/>
          <w:szCs w:val="22"/>
        </w:rPr>
        <w:t xml:space="preserve">Bespreek gezamenlijk: welke vraag uit opdracht 1 was het lastigst om te onderbouwen, en waarom? Ligt dat aan het patroon zelf, of aan hoe het scenario bewust dubbelzinnig was geformuleerd? Bespreek ook: welk strategisch onderwerp uit niveau 2 vond je zelf het lastigst om in een eigen scenario te vangen (opdracht 3), en wat zegt dat over waar je eigen begrip nog niet scherp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B — Het portfolio: het landschap bundelen</w:t>
      </w:r>
    </w:p>
    <w:p>
      <w:pPr>
        <w:pStyle w:val="Heading3"/>
        <w:spacing w:after="100" w:before="160"/>
      </w:pPr>
      <w:r>
        <w:rPr>
          <w:rFonts w:ascii="Georgia" w:cs="Georgia" w:eastAsia="Georgia" w:hAnsi="Georgia"/>
          <w:b/>
          <w:bCs/>
          <w:color w:val="1B2A4A"/>
          <w:sz w:val="24"/>
          <w:szCs w:val="24"/>
        </w:rPr>
        <w:t xml:space="preserve">Dossierstuk 22-A — De vier portfoliobouwstenen, kort samengevat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Bouwsteen</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Bron</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Kernvraag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Context map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11-14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systemen, acht relaties, welk patroon en waarom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Kerndomeinkeuze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 deel kerndomein, ondersteunend, generiek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Architectuurbeslissingen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18-19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consistentiegrenzen, gekozen architectuurpatroon per relatie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Teamtopologie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20-21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teamgrenskaart-uitkomsten, integratiebladen</w:t>
            </w:r>
          </w:p>
        </w:tc>
      </w:tr>
    </w:tbl>
    <w:p>
      <w:pPr>
        <w:pStyle w:val="Heading3"/>
        <w:spacing w:after="100" w:before="160"/>
      </w:pPr>
      <w:r>
        <w:rPr>
          <w:rFonts w:ascii="Georgia" w:cs="Georgia" w:eastAsia="Georgia" w:hAnsi="Georgia"/>
          <w:b/>
          <w:bCs/>
          <w:color w:val="1B2A4A"/>
          <w:sz w:val="24"/>
          <w:szCs w:val="24"/>
        </w:rPr>
        <w:t xml:space="preserve">Dossierstuk 22-B — De vier rondes van de portfoliosessie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Ronde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Bevrager</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Richt zich op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compliance-adviseur (extern, ziet landschap voor het eerst)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context map en kerndomein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actuaris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architectuur en consistentiegrenzen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bestuurder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teams en integratie-events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Iris Tanghe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samenhang tussen twee bouwstenen tegelijk</w:t>
            </w:r>
          </w:p>
        </w:tc>
      </w:tr>
    </w:tbl>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5 — Het portfolio samenstellen (40 min, groepjes van vier tot zes)</w:t>
      </w:r>
    </w:p>
    <w:p>
      <w:pPr>
        <w:spacing w:after="140" w:line="300"/>
      </w:pPr>
      <w:r>
        <w:rPr>
          <w:rFonts w:ascii="Calibri" w:cs="Calibri" w:eastAsia="Calibri" w:hAnsi="Calibri"/>
          <w:b w:val="false"/>
          <w:bCs w:val="false"/>
          <w:i w:val="false"/>
          <w:iCs w:val="false"/>
          <w:sz w:val="22"/>
          <w:szCs w:val="22"/>
        </w:rPr>
        <w:t xml:space="preserve">Vorm groepjes die samen "het contextmap-team" uit de casus vertegenwoordigen. Stel gezamenlijk het portfolio samen door, voor elk van de vier bouwstenen uit dossierstuk 22-A, de belangrijkste uitkomst uit het bijbehorende deel in maximaal vijf zinnen samen te vatten (gebruik hiervoor je eigen uitgewerkte werkvormen uit deel 11 tot en met 21: landschapskaart, kerndomeinkeuze, relatieblad, grensbeschermingsblad, grenzentoets, architectuurkeuzeblad, teamgrenskaart, integratiebladen).</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6 — De samenhang expliciet maken (25 min, groepjes van vier tot zes)</w:t>
      </w:r>
    </w:p>
    <w:p>
      <w:pPr>
        <w:spacing w:after="140" w:line="300"/>
      </w:pPr>
      <w:r>
        <w:rPr>
          <w:rFonts w:ascii="Calibri" w:cs="Calibri" w:eastAsia="Calibri" w:hAnsi="Calibri"/>
          <w:b w:val="false"/>
          <w:bCs w:val="false"/>
          <w:i w:val="false"/>
          <w:iCs w:val="false"/>
          <w:sz w:val="22"/>
          <w:szCs w:val="22"/>
        </w:rPr>
        <w:t xml:space="preserve">Kies drie koppels van bouwstenen uit dossierstuk 22-A en maak voor elk koppel expliciet waarom de ene keuze de andere ondersteunt — bijvoorbeeld, zoals in de reader §22.4, waarom de kerndomeinkeuze verklaart waarom een specifieke relatie een shared kernel is en geen conformist-relatie. Vermijd een koppel dat toevallig naast elkaar staat zonder inhoudelijk verband — als je geen verband kunt vinden, kies een ander koppel.</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7 — Voorbereiding op de vier rondes (30 min, groepjes van vier tot zes)</w:t>
      </w:r>
    </w:p>
    <w:p>
      <w:pPr>
        <w:spacing w:after="140" w:line="300"/>
      </w:pPr>
      <w:r>
        <w:rPr>
          <w:rFonts w:ascii="Calibri" w:cs="Calibri" w:eastAsia="Calibri" w:hAnsi="Calibri"/>
          <w:b w:val="false"/>
          <w:bCs w:val="false"/>
          <w:i w:val="false"/>
          <w:iCs w:val="false"/>
          <w:sz w:val="22"/>
          <w:szCs w:val="22"/>
        </w:rPr>
        <w:t xml:space="preserve">Bereid, voor elk van de vier rondes uit dossierstuk 22-B, minstens één vraag voor die je zelf verwacht te krijgen, en een eerste antwoordrichting:</w:t>
      </w:r>
    </w:p>
    <w:p>
      <w:pPr>
        <w:pStyle w:val="ListParagraph"/>
        <w:numPr>
          <w:ilvl w:val="0"/>
          <w:numId w:val="1"/>
        </w:numPr>
        <w:spacing w:after="80"/>
      </w:pPr>
      <w:r>
        <w:rPr>
          <w:rFonts w:ascii="Calibri" w:cs="Calibri" w:eastAsia="Calibri" w:hAnsi="Calibri"/>
          <w:sz w:val="22"/>
          <w:szCs w:val="22"/>
        </w:rPr>
        <w:t xml:space="preserve">**Ronde 1:** bijvoorbeeld — waarom niet overal dezelfde afspraak tussen de systemen?</w:t>
      </w:r>
    </w:p>
    <w:p>
      <w:pPr>
        <w:pStyle w:val="ListParagraph"/>
        <w:numPr>
          <w:ilvl w:val="0"/>
          <w:numId w:val="1"/>
        </w:numPr>
        <w:spacing w:after="80"/>
      </w:pPr>
      <w:r>
        <w:rPr>
          <w:rFonts w:ascii="Calibri" w:cs="Calibri" w:eastAsia="Calibri" w:hAnsi="Calibri"/>
          <w:sz w:val="22"/>
          <w:szCs w:val="22"/>
        </w:rPr>
        <w:t xml:space="preserve">**Ronde 2:** bijvoorbeeld — hoe garandeert jullie model dat een deelnemer nooit tegenstrijdig wordt bijgewerkt als twee systemen tegelijk schrijven?</w:t>
      </w:r>
    </w:p>
    <w:p>
      <w:pPr>
        <w:pStyle w:val="ListParagraph"/>
        <w:numPr>
          <w:ilvl w:val="0"/>
          <w:numId w:val="1"/>
        </w:numPr>
        <w:spacing w:after="80"/>
      </w:pPr>
      <w:r>
        <w:rPr>
          <w:rFonts w:ascii="Calibri" w:cs="Calibri" w:eastAsia="Calibri" w:hAnsi="Calibri"/>
          <w:sz w:val="22"/>
          <w:szCs w:val="22"/>
        </w:rPr>
        <w:t xml:space="preserve">**Ronde 3:** bijvoorbeeld — wat gebeurt er met dit landschap als het programma groeit maar de kleinste teams niet meegroeien?</w:t>
      </w:r>
    </w:p>
    <w:p>
      <w:pPr>
        <w:pStyle w:val="ListParagraph"/>
        <w:numPr>
          <w:ilvl w:val="0"/>
          <w:numId w:val="1"/>
        </w:numPr>
        <w:spacing w:after="80"/>
      </w:pPr>
      <w:r>
        <w:rPr>
          <w:rFonts w:ascii="Calibri" w:cs="Calibri" w:eastAsia="Calibri" w:hAnsi="Calibri"/>
          <w:sz w:val="22"/>
          <w:szCs w:val="22"/>
        </w:rPr>
        <w:t xml:space="preserve">**Ronde 4:** bijvoorbeeld — spreken jullie kerndomeinkeuze en jullie teamgrenskaart-uitkomst elkaar tegen, of bevestigen ze elkaar?</w:t>
      </w:r>
    </w:p>
    <w:p>
      <w:pPr>
        <w:spacing w:after="140" w:line="300"/>
      </w:pPr>
      <w:r>
        <w:rPr>
          <w:rFonts w:ascii="Calibri" w:cs="Calibri" w:eastAsia="Calibri" w:hAnsi="Calibri"/>
          <w:b w:val="false"/>
          <w:bCs w:val="false"/>
          <w:i w:val="false"/>
          <w:iCs w:val="false"/>
          <w:sz w:val="22"/>
          <w:szCs w:val="22"/>
        </w:rPr>
        <w:t xml:space="preserve">Markeer bij elke voorbereide vraag expliciet of je antwoord een onderbouwd nee, of een eerlijke onzekerheid zou zijn — bereid je voor op beide soorten antwoorden, niet alleen op het antwoord dat je zeker weet.</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8 — De portfoliosessie (45-60 min, klassikaal of in subgroepen)</w:t>
      </w:r>
    </w:p>
    <w:p>
      <w:pPr>
        <w:spacing w:after="140" w:line="300"/>
      </w:pPr>
      <w:r>
        <w:rPr>
          <w:rFonts w:ascii="Calibri" w:cs="Calibri" w:eastAsia="Calibri" w:hAnsi="Calibri"/>
          <w:b w:val="false"/>
          <w:bCs w:val="false"/>
          <w:i w:val="false"/>
          <w:iCs w:val="false"/>
          <w:sz w:val="22"/>
          <w:szCs w:val="22"/>
        </w:rPr>
        <w:t xml:space="preserve">Elk groepje voert de portfoliosessie uit voor de rest van de klas of voor de docent (en eventuele gastbeoordelaars), volgens de vier rondes uit dossierstuk 22-B. Andere deelnemers of de docent nemen de rollen van de compliance-adviseur, de actuaris, de bestuurder en Iris Tanghe over, en stellen onaangekondigde vragen naast de voorbereide vragen uit opdracht 7 — met bijzondere aandacht voor ronde 4, waar de vraag altijd twee bouwstenen tegelijk moet raken.</w:t>
      </w:r>
    </w:p>
    <w:p>
      <w:pPr>
        <w:spacing w:after="140" w:line="300"/>
      </w:pPr>
      <w:r>
        <w:rPr>
          <w:rFonts w:ascii="Calibri" w:cs="Calibri" w:eastAsia="Calibri" w:hAnsi="Calibri"/>
          <w:b w:val="false"/>
          <w:bCs w:val="false"/>
          <w:i w:val="false"/>
          <w:iCs w:val="false"/>
          <w:sz w:val="22"/>
          <w:szCs w:val="22"/>
        </w:rPr>
        <w:t xml:space="preserve">Na elke ronde geeft de groep zichzelf, en de klas de groep, een korte kwalificatie per antwoord: oppervlakkig ja, onderbouwd nee, of eerlijke onzekerheid (zie reader §22.4). Er is geen cijfer — het doel is het onderscheid tussen deze drie leren herkennen op landschapschaal, waar de verleiding om oppervlakkig te blijven groter is dan bij één klein model.</w:t>
      </w:r>
    </w:p>
    <w:p>
      <w:pPr>
        <w:spacing w:after="140" w:line="300"/>
      </w:pPr>
      <w:r>
        <w:rPr>
          <w:rFonts w:ascii="Calibri" w:cs="Calibri" w:eastAsia="Calibri" w:hAnsi="Calibri"/>
          <w:b w:val="false"/>
          <w:bCs w:val="false"/>
          <w:i w:val="false"/>
          <w:iCs w:val="false"/>
          <w:sz w:val="22"/>
          <w:szCs w:val="22"/>
        </w:rPr>
        <w:t xml:space="preserve">Sluit af met een korte, gezamenlijke reflectie: welke vraag dwong de groep het meest om een verband te zien dat ze nog niet expliciet hadden gemaakt?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 deel A</w:t>
      </w:r>
    </w:p>
    <w:p>
      <w:pPr>
        <w:pStyle w:val="Heading2"/>
        <w:spacing w:after="120" w:before="200"/>
      </w:pPr>
      <w:r>
        <w:rPr>
          <w:rFonts w:ascii="Georgia" w:cs="Georgia" w:eastAsia="Georgia" w:hAnsi="Georgia"/>
          <w:b/>
          <w:bCs/>
          <w:color w:val="2C5AA0"/>
          <w:sz w:val="28"/>
          <w:szCs w:val="28"/>
        </w:rPr>
        <w:t xml:space="preserve">Uitwerking vraag 1</w:t>
      </w:r>
    </w:p>
    <w:p>
      <w:pPr>
        <w:spacing w:after="140" w:line="300"/>
      </w:pPr>
      <w:r>
        <w:rPr>
          <w:rFonts w:ascii="Calibri" w:cs="Calibri" w:eastAsia="Calibri" w:hAnsi="Calibri"/>
          <w:b w:val="false"/>
          <w:bCs w:val="false"/>
          <w:i w:val="false"/>
          <w:iCs w:val="false"/>
          <w:sz w:val="22"/>
          <w:szCs w:val="22"/>
        </w:rPr>
        <w:t xml:space="preserve">Partnership. Beide teams zijn wederzijds afhankelijk binnen hetzelfde programma en kunnen geen van beide zonder voortdurende afstemming met de ander vooruit — een eenzijdige beslissing van het ene team dwingt onmiddellijk werk af bij het andere. Een customer/supplier-relatie zou hier niet passen, omdat die veronderstelt dat één partij (de supplier) de ander (de customer) bedient zonder zelf evenveel afhankelijk te zijn — hier is de afhankelijkheid wederkerig en gelijktijdig.</w:t>
      </w:r>
    </w:p>
    <w:p>
      <w:pPr>
        <w:pStyle w:val="Heading2"/>
        <w:spacing w:after="120" w:before="200"/>
      </w:pPr>
      <w:r>
        <w:rPr>
          <w:rFonts w:ascii="Georgia" w:cs="Georgia" w:eastAsia="Georgia" w:hAnsi="Georgia"/>
          <w:b/>
          <w:bCs/>
          <w:color w:val="2C5AA0"/>
          <w:sz w:val="28"/>
          <w:szCs w:val="28"/>
        </w:rPr>
        <w:t xml:space="preserve">Uitwerking vraag 2</w:t>
      </w:r>
    </w:p>
    <w:p>
      <w:pPr>
        <w:spacing w:after="140" w:line="300"/>
      </w:pPr>
      <w:r>
        <w:rPr>
          <w:rFonts w:ascii="Calibri" w:cs="Calibri" w:eastAsia="Calibri" w:hAnsi="Calibri"/>
          <w:b w:val="false"/>
          <w:bCs w:val="false"/>
          <w:i w:val="false"/>
          <w:iCs w:val="false"/>
          <w:sz w:val="22"/>
          <w:szCs w:val="22"/>
        </w:rPr>
        <w:t xml:space="preserve">Conformist. De andere afdelingen nemen het model van de kernregistratie over zonder eigen vertaling. Dit is niet noodzakelijk een probleem: conformist kan een bewuste, verstandige keuze zijn als de kernregistratie stabiel en betrouwbaar genoeg is en de afnemende afdelingen geen wezenlijk andere behoefte hebben. Het wordt pas een probleem als het ontstaan is bij gebrek aan onderhandelingspositie in plaats van als bewuste keuze — precies het onderscheid dat de teamgrenskaart uit deel 20 blootlegt.</w:t>
      </w:r>
    </w:p>
    <w:p>
      <w:pPr>
        <w:pStyle w:val="Heading2"/>
        <w:spacing w:after="120" w:before="200"/>
      </w:pPr>
      <w:r>
        <w:rPr>
          <w:rFonts w:ascii="Georgia" w:cs="Georgia" w:eastAsia="Georgia" w:hAnsi="Georgia"/>
          <w:b/>
          <w:bCs/>
          <w:color w:val="2C5AA0"/>
          <w:sz w:val="28"/>
          <w:szCs w:val="28"/>
        </w:rPr>
        <w:t xml:space="preserve">Uitwerking vraag 3</w:t>
      </w:r>
    </w:p>
    <w:p>
      <w:pPr>
        <w:spacing w:after="140" w:line="300"/>
      </w:pPr>
      <w:r>
        <w:rPr>
          <w:rFonts w:ascii="Calibri" w:cs="Calibri" w:eastAsia="Calibri" w:hAnsi="Calibri"/>
          <w:b w:val="false"/>
          <w:bCs w:val="false"/>
          <w:i w:val="false"/>
          <w:iCs w:val="false"/>
          <w:sz w:val="22"/>
          <w:szCs w:val="22"/>
        </w:rPr>
        <w:t xml:space="preserve">Niet per se een shared kernel. Het probleem hier is niet dat beide teams hetzelfde begrip nodig hebben, maar dat ze, zonder het te beseffen, twee totaal verschillende betekenissen aan hetzelfde woord geven — een taalprobleem, geen gedeeld-model-probleem. De juiste eerste stap is het expliciet erkennen van twee aparte bounded contexts met elk hun eigen "gebruiker"-begrip (zoals in deel 9 en de context mapping van deel 13-14), niet het forceren van één gedeeld model dat de twee, wezenlijk verschillende, doelen zou vermengen.</w:t>
      </w:r>
    </w:p>
    <w:p>
      <w:pPr>
        <w:pStyle w:val="Heading2"/>
        <w:spacing w:after="120" w:before="200"/>
      </w:pPr>
      <w:r>
        <w:rPr>
          <w:rFonts w:ascii="Georgia" w:cs="Georgia" w:eastAsia="Georgia" w:hAnsi="Georgia"/>
          <w:b/>
          <w:bCs/>
          <w:color w:val="2C5AA0"/>
          <w:sz w:val="28"/>
          <w:szCs w:val="28"/>
        </w:rPr>
        <w:t xml:space="preserve">Uitwerking vraag 4</w:t>
      </w:r>
    </w:p>
    <w:p>
      <w:pPr>
        <w:spacing w:after="140" w:line="300"/>
      </w:pPr>
      <w:r>
        <w:rPr>
          <w:rFonts w:ascii="Calibri" w:cs="Calibri" w:eastAsia="Calibri" w:hAnsi="Calibri"/>
          <w:b w:val="false"/>
          <w:bCs w:val="false"/>
          <w:i w:val="false"/>
          <w:iCs w:val="false"/>
          <w:sz w:val="22"/>
          <w:szCs w:val="22"/>
        </w:rPr>
        <w:t xml:space="preserve">Generic. Facturatie is geen onderscheidend vermogen voor dit logistiek bedrijf — het is een taak die elk bedrijf nodig heeft en die geen concurrentievoordeel oplevert als hij zelf, met veel aandacht, wordt gebouwd. De consequentie: de beste ontwikkelaars horen op de routeplanning (waarschijnlijk het kerndomein) te zitten, niet op facturatie — voor het generieke onderdeel is een bestaande, standaardoplossing vaak verstandiger dan zelfbouw.</w:t>
      </w:r>
    </w:p>
    <w:p>
      <w:pPr>
        <w:pStyle w:val="Heading2"/>
        <w:spacing w:after="120" w:before="200"/>
      </w:pPr>
      <w:r>
        <w:rPr>
          <w:rFonts w:ascii="Georgia" w:cs="Georgia" w:eastAsia="Georgia" w:hAnsi="Georgia"/>
          <w:b/>
          <w:bCs/>
          <w:color w:val="2C5AA0"/>
          <w:sz w:val="28"/>
          <w:szCs w:val="28"/>
        </w:rPr>
        <w:t xml:space="preserve">Uitwerking vraag 5</w:t>
      </w:r>
    </w:p>
    <w:p>
      <w:pPr>
        <w:spacing w:after="140" w:line="300"/>
      </w:pPr>
      <w:r>
        <w:rPr>
          <w:rFonts w:ascii="Calibri" w:cs="Calibri" w:eastAsia="Calibri" w:hAnsi="Calibri"/>
          <w:b w:val="false"/>
          <w:bCs w:val="false"/>
          <w:i w:val="false"/>
          <w:iCs w:val="false"/>
          <w:sz w:val="22"/>
          <w:szCs w:val="22"/>
        </w:rPr>
        <w:t xml:space="preserve">EventStorming (of een vergelijkbare big-picture-sessie, zoals in deel 15). De reden om niet meteen met bounded contexts te beginnen: contextgrenzen trek je op basis van waar taal en verantwoordelijkheid natuurlijk uiteenlopen, en dat wordt pas zichtbaar nadat het complete proces in gebeurtenissen is uitgelegd — te vroeg een grens trekken loopt het risico dat de grens wordt gekozen op aannames in plaats van op wat er daadwerkelijk, stap voor stap, in het zorgproces gebeurt.</w:t>
      </w:r>
    </w:p>
    <w:p>
      <w:pPr>
        <w:spacing w:after="140" w:line="300"/>
      </w:pPr>
      <w:r>
        <w:rPr>
          <w:rFonts w:ascii="Calibri" w:cs="Calibri" w:eastAsia="Calibri" w:hAnsi="Calibri"/>
          <w:sz w:val="22"/>
          <w:szCs w:val="22"/>
        </w:rPr>
        <w:t xml:space="preserve"/>
      </w:r>
    </w:p>
    <w:p>
      <w:pPr>
        <w:spacing w:after="140" w:line="300"/>
      </w:pPr>
      <w:r>
        <w:rPr>
          <w:rFonts w:ascii="Calibri" w:cs="Calibri" w:eastAsia="Calibri" w:hAnsi="Calibri"/>
          <w:b w:val="false"/>
          <w:bCs w:val="false"/>
          <w:i/>
          <w:iCs/>
          <w:sz w:val="22"/>
          <w:szCs w:val="22"/>
        </w:rPr>
        <w:t xml:space="preserve">De uitwerkingen van deel B (het portfolio) zijn niet vast, omdat de sessie live plaatsvindt op basis van het eigen, door de deelnemer opgebouwde werk uit deel 11 tot en met 21. Het beoordelingskader (oppervlakkig ja / onderbouwd nee / eerlijke onzekerheid, toegepast op de samenhang tussen bouwstenen) staat in reader §22.4 en wordt in de docentenhandleiding uitgewerkt tot een rubric.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2026-08-16T19:18:57.847Z</dcterms:created>
  <dcterms:modified xsi:type="dcterms:W3CDTF">2026-08-16T19:18:57.847Z</dcterms:modified>
</cp:coreProperties>
</file>

<file path=docProps/custom.xml><?xml version="1.0" encoding="utf-8"?>
<Properties xmlns="http://schemas.openxmlformats.org/officeDocument/2006/custom-properties" xmlns:vt="http://schemas.openxmlformats.org/officeDocument/2006/docPropsVTypes"/>
</file>