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23 — Strategisch herontwerp op stelselschaal: het kerndomein heroverwegen onder de Wtp-transitie</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3 (expert) · deel 23 van 30 — opening van niveau 3</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23 opent niveau 3 en is, anders dan de meeste openingsdelen van de eerdere niveaus, bewust grotendeels zelfstandig leesbaar: een deelnemer die niveau 1 en 2 niet heeft gevolgd, kan dit deel volgen zonder gat in het verhaal. Het bouwt inhoudelijk voort op de kerndomeinclassificatie uit deel 12 (niveau 2), maar herhaalt de kern van dat begrip kort genoeg dat voorkennis niet vereist is.</w:t>
      </w:r>
    </w:p>
    <w:p>
      <w:pPr>
        <w:spacing w:after="140" w:line="300"/>
      </w:pPr>
      <w:r>
        <w:rPr>
          <w:rFonts w:ascii="Calibri" w:cs="Calibri" w:eastAsia="Calibri" w:hAnsi="Calibri"/>
          <w:b w:val="false"/>
          <w:bCs w:val="false"/>
          <w:i w:val="false"/>
          <w:iCs w:val="false"/>
          <w:sz w:val="22"/>
          <w:szCs w:val="22"/>
        </w:rPr>
        <w:t xml:space="preserve">Het zwaartepunt van dit deel is strategisch: geen nieuwe tactische bouwsteen, geen nieuw context-mappingpatroon, maar een scherper begrip van iets dat deelnemers vaak impliciet al doen zonder het expliciet te kunnen verantwoorden — een eerdere strategische keuze heroverwegen onder een nieuwe druk, zonder in overreactie of onderreactie te vervallen. Dit is de vaardigheid die niveau 3 als geheel draagt: de rest van de delen (sanering, consistentie, governance, fusie, oordeel) zijn stuk voor stuk vormen van dezelfde onderliggende vraag — verandert er iets, en verdient dat een andere strategische keuze, of niet.</w:t>
      </w:r>
    </w:p>
    <w:p>
      <w:pPr>
        <w:pStyle w:val="ListParagraph"/>
        <w:numPr>
          <w:ilvl w:val="0"/>
          <w:numId w:val="1"/>
        </w:numPr>
        <w:spacing w:after="80"/>
      </w:pPr>
      <w:r>
        <w:rPr>
          <w:rFonts w:ascii="Calibri" w:cs="Calibri" w:eastAsia="Calibri" w:hAnsi="Calibri"/>
          <w:sz w:val="22"/>
          <w:szCs w:val="22"/>
        </w:rPr>
        <w:t xml:space="preserve">**Module-onderdeel:** dit deel bereidt niet rechtstreeks één curriculumonderdeel van de iSAQB Advanced-module voor, maar traint de onderliggende vaardigheid die de hele strategische lijn van de module vraagt: een eerdere bounded-context- of kerndomeinkeuze onder veranderende omstandigheden opnieuw kunnen verantwoorden. Relevant voor het strategische deel van de examentraining in deel 29.</w:t>
      </w:r>
    </w:p>
    <w:p>
      <w:pPr>
        <w:pStyle w:val="ListParagraph"/>
        <w:numPr>
          <w:ilvl w:val="0"/>
          <w:numId w:val="1"/>
        </w:numPr>
        <w:spacing w:after="80"/>
      </w:pPr>
      <w:r>
        <w:rPr>
          <w:rFonts w:ascii="Calibri" w:cs="Calibri" w:eastAsia="Calibri" w:hAnsi="Calibri"/>
          <w:sz w:val="22"/>
          <w:szCs w:val="22"/>
        </w:rPr>
        <w:t xml:space="preserve">**Werkvorm:** de herijkingstoets (nieuw instrument van dit deel).</w:t>
      </w:r>
    </w:p>
    <w:p>
      <w:pPr>
        <w:pStyle w:val="ListParagraph"/>
        <w:numPr>
          <w:ilvl w:val="0"/>
          <w:numId w:val="1"/>
        </w:numPr>
        <w:spacing w:after="80"/>
      </w:pPr>
      <w:r>
        <w:rPr>
          <w:rFonts w:ascii="Calibri" w:cs="Calibri" w:eastAsia="Calibri" w:hAnsi="Calibri"/>
          <w:sz w:val="22"/>
          <w:szCs w:val="22"/>
        </w:rPr>
        <w:t xml:space="preserve">**Duur:** één dagdeel (circa 3 uur inclusief korte pauze).</w:t>
      </w:r>
    </w:p>
    <w:p>
      <w:pPr>
        <w:pStyle w:val="ListParagraph"/>
        <w:numPr>
          <w:ilvl w:val="0"/>
          <w:numId w:val="1"/>
        </w:numPr>
        <w:spacing w:after="80"/>
      </w:pPr>
      <w:r>
        <w:rPr>
          <w:rFonts w:ascii="Calibri" w:cs="Calibri" w:eastAsia="Calibri" w:hAnsi="Calibri"/>
          <w:sz w:val="22"/>
          <w:szCs w:val="22"/>
        </w:rPr>
        <w:t xml:space="preserve">**Voorbereiding deelnemers:** geen. Het casusdossier niveau 3 wordt in dit deel voor het eerst uitgereikt en gelezen; kennis van niveau 1 of 2 is nuttig maar niet vereist.</w:t>
      </w:r>
    </w:p>
    <w:p>
      <w:pPr>
        <w:pStyle w:val="Heading2"/>
        <w:spacing w:after="120" w:before="200"/>
      </w:pPr>
      <w:r>
        <w:rPr>
          <w:rFonts w:ascii="Georgia" w:cs="Georgia" w:eastAsia="Georgia" w:hAnsi="Georgia"/>
          <w:b/>
          <w:bCs/>
          <w:color w:val="2C5AA0"/>
          <w:sz w:val="28"/>
          <w:szCs w:val="28"/>
        </w:rPr>
        <w:t xml:space="preserve">2. Tijdschema (dagdeel van circa 3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Opening: uitreiken casusdossier niveau 3, korte toelichting op de Stelselovergang en waar dit deel over gaat (reader §23.1-23.2)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van de twee valkuilen (reader §23.3) en de vier verschuivingen (reader §23.4)</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en 2 — de twee valkuilen herkennen, individueel en in 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van de herijkingstoets (reader §23.5)</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eigen casus, stap 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eigen casus, stap 2 en 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kruisbeoordeling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de herijkingstoets op het Meridiaan-landschap, met de casus uit de reader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Klassikale bespreking: waar verschilde de eigen uitwerking van de reader-casus, en waarom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7 (korte reflectie) en afsluiting met vooruitblik (reader §23.7)</w:t>
            </w:r>
          </w:p>
        </w:tc>
      </w:tr>
    </w:tbl>
    <w:p>
      <w:pPr>
        <w:pStyle w:val="Heading2"/>
        <w:spacing w:after="120" w:before="200"/>
      </w:pPr>
      <w:r>
        <w:rPr>
          <w:rFonts w:ascii="Georgia" w:cs="Georgia" w:eastAsia="Georgia" w:hAnsi="Georgia"/>
          <w:b/>
          <w:bCs/>
          <w:color w:val="2C5AA0"/>
          <w:sz w:val="28"/>
          <w:szCs w:val="28"/>
        </w:rPr>
        <w:t xml:space="preserve">3. De opening: waarom dit deel niet begint met theorie over kerndomeinen</w:t>
      </w:r>
    </w:p>
    <w:p>
      <w:pPr>
        <w:spacing w:after="140" w:line="300"/>
      </w:pPr>
      <w:r>
        <w:rPr>
          <w:rFonts w:ascii="Calibri" w:cs="Calibri" w:eastAsia="Calibri" w:hAnsi="Calibri"/>
          <w:b w:val="false"/>
          <w:bCs w:val="false"/>
          <w:i w:val="false"/>
          <w:iCs w:val="false"/>
          <w:sz w:val="22"/>
          <w:szCs w:val="22"/>
        </w:rPr>
        <w:t xml:space="preserve">Begin niet met een herhaling van core/supporting/generic als begrippenkader — dat is niveau 2-stof en de meeste deelnemers die hier instromen kennen het al, of hebben het net herhaald gezien in de korte samenvatting van reader §23.3. Begin in plaats daarvan met de vraag van Iris uit reader §23.2: "vertel me of onze kerndomeinkeuze nog klopt." Laat de groep, vóór je de herijkingstoets introduceert, zelf een minuut nadenken over wat voor soort vraag dit is — een technische vraag, een organisatorische vraag, of iets anders. De meest bruikbare respons komt meestal neer op: het is een vraag naar of de aanname achter een eerdere beslissing nog geldt.</w:t>
      </w:r>
    </w:p>
    <w:p>
      <w:pPr>
        <w:spacing w:after="140" w:line="300"/>
      </w:pPr>
      <w:r>
        <w:rPr>
          <w:rFonts w:ascii="Calibri" w:cs="Calibri" w:eastAsia="Calibri" w:hAnsi="Calibri"/>
          <w:b w:val="false"/>
          <w:bCs w:val="false"/>
          <w:i w:val="false"/>
          <w:iCs w:val="false"/>
          <w:sz w:val="22"/>
          <w:szCs w:val="22"/>
        </w:rPr>
        <w:t xml:space="preserve">Benoem daarna expliciet dat dit geen puur DDD-technische vaardigheid is, maar wel een vaardigheid die DDD als discipline scherper maakt dan de meeste andere ontwerpbenaderingen doen: het dwingt je te benoemen wélke vraag een systeem op dit moment beantwoordt, in plaats van te blijven hangen bij de vraag die het ooit beantwoordde.</w:t>
      </w:r>
    </w:p>
    <w:p>
      <w:pPr>
        <w:pStyle w:val="Heading2"/>
        <w:spacing w:after="120" w:before="200"/>
      </w:pPr>
      <w:r>
        <w:rPr>
          <w:rFonts w:ascii="Georgia" w:cs="Georgia" w:eastAsia="Georgia" w:hAnsi="Georgia"/>
          <w:b/>
          <w:bCs/>
          <w:color w:val="2C5AA0"/>
          <w:sz w:val="28"/>
          <w:szCs w:val="28"/>
        </w:rPr>
        <w:t xml:space="preserve">4. Veelgemaakte fouten bij de twee valkuilen (opdracht 1 en 2)</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markeren scenario B als "geen valkuil" omdat de architect zelfverzekerd klinkt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Zelfvertrouwen wordt verward met onderbouwing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"welke concrete reden geeft de architect voor zijn keuze, buiten dat er al twee jaar aan is gewerkt?"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markeren scenario A als "terecht, beter te veel dan te weinig heroverwegen"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kost-aspect van overreactie wordt onderschat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"wat kost het de organisatie als tien productlijnen onnodig worden heroverwogen, in een periode waarin de tijd juist schaars 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zien scenario C als "vanzelfsprekend, natuurlijk doe je dat zo"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Onderschatting van hoe vaak scenario A of B in de praktijk gebeurt zonder dat iemand het als fout herkent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door: "kun je een keer noemen, uit je eigen werk, waarin je team eigenlijk scenario A of B deed zonder het toen zo te zien?"</w:t>
            </w:r>
          </w:p>
        </w:tc>
      </w:tr>
    </w:tbl>
    <w:p>
      <w:pPr>
        <w:pStyle w:val="Heading2"/>
        <w:spacing w:after="120" w:before="200"/>
      </w:pPr>
      <w:r>
        <w:rPr>
          <w:rFonts w:ascii="Georgia" w:cs="Georgia" w:eastAsia="Georgia" w:hAnsi="Georgia"/>
          <w:b/>
          <w:bCs/>
          <w:color w:val="2C5AA0"/>
          <w:sz w:val="28"/>
          <w:szCs w:val="28"/>
        </w:rPr>
        <w:t xml:space="preserve">5. Begeleiding bij de herijkingstoets (opdracht 3 t/m 6)</w:t>
      </w:r>
    </w:p>
    <w:p>
      <w:pPr>
        <w:spacing w:after="140" w:line="300"/>
      </w:pPr>
      <w:r>
        <w:rPr>
          <w:rFonts w:ascii="Calibri" w:cs="Calibri" w:eastAsia="Calibri" w:hAnsi="Calibri"/>
          <w:b w:val="false"/>
          <w:bCs w:val="false"/>
          <w:i w:val="false"/>
          <w:iCs w:val="false"/>
          <w:sz w:val="22"/>
          <w:szCs w:val="22"/>
        </w:rPr>
        <w:t xml:space="preserve">Het belangrijkste dat je als docent bewaakt, is dat groepen stap 1 daadwerkelijk afronden vóórdat ze naar stap 2 gaan. De meest voorkomende afwijking is dat een groep meteen begint met "welk systeem is nu het belangrijkst" — en daarmee onbewust terugvalt in de kerndomeinclassificatie-oefening van niveau 2, zonder eerst expliciet te maken wát de nieuwe druk vraagt. Onderbreek dat vroeg: "Voordat je naar systemen kijkt — wat vraagt deze nieuwe situatie nu eigenlijk, in woorden, niet in systeemnamen?"</w:t>
      </w:r>
    </w:p>
    <w:p>
      <w:pPr>
        <w:spacing w:after="140" w:line="300"/>
      </w:pPr>
      <w:r>
        <w:rPr>
          <w:rFonts w:ascii="Calibri" w:cs="Calibri" w:eastAsia="Calibri" w:hAnsi="Calibri"/>
          <w:b w:val="false"/>
          <w:bCs w:val="false"/>
          <w:i w:val="false"/>
          <w:iCs w:val="false"/>
          <w:sz w:val="22"/>
          <w:szCs w:val="22"/>
        </w:rPr>
        <w:t xml:space="preserve">Bij opdracht 4 is de meest voorkomende zwakte een stap 3-uitspraak die stopt bij "dit blijft hetzelfde" of "dit verandert helemaal" zonder een concrete reden voor het onderscheid. Vraag door met: "als ik je vraag om in één zin uit te leggen waaróm dit deel blijft en dit deel verschuift, wat zeg je dan?"</w:t>
      </w:r>
    </w:p>
    <w:p>
      <w:pPr>
        <w:spacing w:after="140" w:line="300"/>
      </w:pPr>
      <w:r>
        <w:rPr>
          <w:rFonts w:ascii="Calibri" w:cs="Calibri" w:eastAsia="Calibri" w:hAnsi="Calibri"/>
          <w:b w:val="false"/>
          <w:bCs w:val="false"/>
          <w:i w:val="false"/>
          <w:iCs w:val="false"/>
          <w:sz w:val="22"/>
          <w:szCs w:val="22"/>
        </w:rPr>
        <w:t xml:space="preserve">Bij opdracht 6, de toepassing op de Meridiaan-casus zelf, is het waardevol als de groep zelf tot de KERN-datakwaliteitsuitspraak komt vóórdat ze die in de reader teruglezen — laat ze daarom, als de tijd het toelaat, eerst hardop hun eigen conclusie formuleren en pas dáárna reader §23.6 erbij pakken. Een groep die tot een ander antwoord komt dan het team in de reader, hoeft niet fout te zitten: vraag naar de onderbouwing, niet naar overeenstemming met de reader.</w:t>
      </w:r>
    </w:p>
    <w:p>
      <w:pPr>
        <w:pStyle w:val="Heading2"/>
        <w:spacing w:after="120" w:before="200"/>
      </w:pPr>
      <w:r>
        <w:rPr>
          <w:rFonts w:ascii="Georgia" w:cs="Georgia" w:eastAsia="Georgia" w:hAnsi="Georgia"/>
          <w:b/>
          <w:bCs/>
          <w:color w:val="2C5AA0"/>
          <w:sz w:val="28"/>
          <w:szCs w:val="28"/>
        </w:rPr>
        <w:t xml:space="preserve">6. Waarom dit deel geen rubric heeft, in tegenstelling tot deel 10, 22, 29 en 30</w:t>
      </w:r>
    </w:p>
    <w:p>
      <w:pPr>
        <w:spacing w:after="140" w:line="300"/>
      </w:pPr>
      <w:r>
        <w:rPr>
          <w:rFonts w:ascii="Calibri" w:cs="Calibri" w:eastAsia="Calibri" w:hAnsi="Calibri"/>
          <w:b w:val="false"/>
          <w:bCs w:val="false"/>
          <w:i w:val="false"/>
          <w:iCs w:val="false"/>
          <w:sz w:val="22"/>
          <w:szCs w:val="22"/>
        </w:rPr>
        <w:t xml:space="preserve">Anders dan de examentraining-delen (10, 22, 29) en de masterproef (30), kent dit deel geen formele beoordelingsrubric. Het is een introductiedeel dat een nieuw instrument aanreikt, geen verdedigingsmoment. Beoordeel informeel, in de nabespreking van opdracht 5 en 6, op dezelfde twee criteria die in latere delen wél formeel terugkomen: bevat de uitspraak een concrete reden voor wat blijft en wat verschuift, en is die reden herleidbaar tot wat de nieuwe druk daadwerkelijk vraagt (stap 1) in plaats van tot een aanname die nooit hardop is gemaakt?</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Casusdossier niveau 3 (volledig, wordt in dit deel voor het eerst uitgereikt)</w:t>
      </w:r>
    </w:p>
    <w:p>
      <w:pPr>
        <w:pStyle w:val="ListParagraph"/>
        <w:numPr>
          <w:ilvl w:val="0"/>
          <w:numId w:val="1"/>
        </w:numPr>
        <w:spacing w:after="80"/>
      </w:pPr>
      <w:r>
        <w:rPr>
          <w:rFonts w:ascii="Calibri" w:cs="Calibri" w:eastAsia="Calibri" w:hAnsi="Calibri"/>
          <w:sz w:val="22"/>
          <w:szCs w:val="22"/>
        </w:rPr>
        <w:t xml:space="preserve">Werkboek deel 23</w:t>
      </w:r>
    </w:p>
    <w:p>
      <w:pPr>
        <w:pStyle w:val="ListParagraph"/>
        <w:numPr>
          <w:ilvl w:val="0"/>
          <w:numId w:val="1"/>
        </w:numPr>
        <w:spacing w:after="80"/>
      </w:pPr>
      <w:r>
        <w:rPr>
          <w:rFonts w:ascii="Calibri" w:cs="Calibri" w:eastAsia="Calibri" w:hAnsi="Calibri"/>
          <w:sz w:val="22"/>
          <w:szCs w:val="22"/>
        </w:rPr>
        <w:t xml:space="preserve">Slidedeck deel 23</w:t>
      </w:r>
    </w:p>
    <w:p>
      <w:pPr>
        <w:pStyle w:val="ListParagraph"/>
        <w:numPr>
          <w:ilvl w:val="0"/>
          <w:numId w:val="1"/>
        </w:numPr>
        <w:spacing w:after="80"/>
      </w:pPr>
      <w:r>
        <w:rPr>
          <w:rFonts w:ascii="Calibri" w:cs="Calibri" w:eastAsia="Calibri" w:hAnsi="Calibri"/>
          <w:sz w:val="22"/>
          <w:szCs w:val="22"/>
        </w:rPr>
        <w:t xml:space="preserve">Flip-over of digitaal whiteboard voor de klassikale bespreking van opdracht 6</w:t>
      </w:r>
    </w:p>
    <w:p>
      <w:pPr>
        <w:pStyle w:val="Heading2"/>
        <w:spacing w:after="120" w:before="200"/>
      </w:pPr>
      <w:r>
        <w:rPr>
          <w:rFonts w:ascii="Georgia" w:cs="Georgia" w:eastAsia="Georgia" w:hAnsi="Georgia"/>
          <w:b/>
          <w:bCs/>
          <w:color w:val="2C5AA0"/>
          <w:sz w:val="28"/>
          <w:szCs w:val="28"/>
        </w:rPr>
        <w:t xml:space="preserve">8. Aantekeningen voor de docent over de opening van niveau 3</w:t>
      </w:r>
    </w:p>
    <w:p>
      <w:pPr>
        <w:pStyle w:val="ListParagraph"/>
        <w:numPr>
          <w:ilvl w:val="0"/>
          <w:numId w:val="1"/>
        </w:numPr>
        <w:spacing w:after="80"/>
      </w:pPr>
      <w:r>
        <w:rPr>
          <w:rFonts w:ascii="Calibri" w:cs="Calibri" w:eastAsia="Calibri" w:hAnsi="Calibri"/>
          <w:sz w:val="22"/>
          <w:szCs w:val="22"/>
        </w:rPr>
        <w:t xml:space="preserve">Dit deel introduceert het fusiescenario nog niet inhoudelijk — de casus eindigt bewust met alleen een vaag bericht over "een overnamekans in de sector" (reader §23.7, casusdossier §5). Geef bij vragen van deelnemers ("wat is die overname dan?") niet meer prijs dan het casusdossier op dit moment biedt; de spanning die dat oproept, is bedoeld en wordt in deel 26 opgelost.</w:t>
      </w:r>
    </w:p>
    <w:p>
      <w:pPr>
        <w:pStyle w:val="ListParagraph"/>
        <w:numPr>
          <w:ilvl w:val="0"/>
          <w:numId w:val="1"/>
        </w:numPr>
        <w:spacing w:after="80"/>
      </w:pPr>
      <w:r>
        <w:rPr>
          <w:rFonts w:ascii="Calibri" w:cs="Calibri" w:eastAsia="Calibri" w:hAnsi="Calibri"/>
          <w:sz w:val="22"/>
          <w:szCs w:val="22"/>
        </w:rPr>
        <w:t xml:space="preserve">Leg bij de afsluiting expliciet de verbinding naar deel 1 van niveau 1: dezelfde onderliggende discipline (een keuze onderbouwd durven heroverwegen, of onderbouwd durven vasthouden) keert straks terug op een heel andere schaal, tot en met de masterproef in deel 30. Deelnemers die niveau 1 hebben gevolgd, herkennen dit meestal zelf; benoem het voor deelnemers die met niveau 3 instromen alsnog kort, zodat de cursusboog ook voor hen zichtbaar wordt.</w:t>
      </w:r>
    </w:p>
    <w:p>
      <w:pPr>
        <w:pStyle w:val="ListParagraph"/>
        <w:numPr>
          <w:ilvl w:val="0"/>
          <w:numId w:val="1"/>
        </w:numPr>
        <w:spacing w:after="80"/>
      </w:pPr>
      <w:r>
        <w:rPr>
          <w:rFonts w:ascii="Calibri" w:cs="Calibri" w:eastAsia="Calibri" w:hAnsi="Calibri"/>
          <w:sz w:val="22"/>
          <w:szCs w:val="22"/>
        </w:rPr>
        <w:t xml:space="preserve">Vermijd de indruk dat de herijkingstoets een vervanging is van de kerndomeinclassificatie uit deel 12 (niveau 2) — het is een aanvullend instrument voor het specifieke moment waarop een eerdere classificatie onder druk komt te staan, niet een nieuwe manier om vanaf nul te classificeren.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2026-08-16T19:19:02.763Z</dcterms:created>
  <dcterms:modified xsi:type="dcterms:W3CDTF">2026-08-16T19:19:02.763Z</dcterms:modified>
</cp:coreProperties>
</file>

<file path=docProps/custom.xml><?xml version="1.0" encoding="utf-8"?>
<Properties xmlns="http://schemas.openxmlformats.org/officeDocument/2006/custom-properties" xmlns:vt="http://schemas.openxmlformats.org/officeDocument/2006/docPropsVTypes"/>
</file>