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24 — Grote ballen modder saneren: strangler fig en anti-corruption layer als saneringsstrategie</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3 (expert) · deel 24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24 volgt rechtstreeks op de herijkte kerndomeinuitspraak uit deel 23: KERN's historische datakwaliteit is tijdelijk kerndomein geworden, en dit deel levert de saneringsstrategie waarmee die uitspraak concreet wordt uitgevoerd. Het zwaartepunt is strategisch én tactisch — strategisch in de keuze wélk deel van een grote bal modder je eerst aanpakt en waarom, tactisch in het daadwerkelijk ontwerpen van een anti-corruption layer als concrete bouwsteen.</w:t>
      </w:r>
    </w:p>
    <w:p>
      <w:pPr>
        <w:spacing w:after="140" w:line="300"/>
      </w:pPr>
      <w:r>
        <w:rPr>
          <w:rFonts w:ascii="Calibri" w:cs="Calibri" w:eastAsia="Calibri" w:hAnsi="Calibri"/>
          <w:b w:val="false"/>
          <w:bCs w:val="false"/>
          <w:i w:val="false"/>
          <w:iCs w:val="false"/>
          <w:sz w:val="22"/>
          <w:szCs w:val="22"/>
        </w:rPr>
        <w:t xml:space="preserve">Dit is ook het eerste deel waarin de deelnemer een saneringsstrategie voor een bestaand, ongestructureerd systeem leert toepassen — een vaardigheid die in niveau 1 en 2 nog niet aan bod kwam, omdat die niveaus vooral over het bouwen van nieuwe modellen gingen. Deel 24 erkent expliciet dat de meeste DDD-toepassing in de praktijk niet bij een leeg canvas begint.</w:t>
      </w:r>
    </w:p>
    <w:p>
      <w:pPr>
        <w:pStyle w:val="ListParagraph"/>
        <w:numPr>
          <w:ilvl w:val="0"/>
          <w:numId w:val="1"/>
        </w:numPr>
        <w:spacing w:after="80"/>
      </w:pPr>
      <w:r>
        <w:rPr>
          <w:rFonts w:ascii="Calibri" w:cs="Calibri" w:eastAsia="Calibri" w:hAnsi="Calibri"/>
          <w:sz w:val="22"/>
          <w:szCs w:val="22"/>
        </w:rPr>
        <w:t xml:space="preserve">**Module-onderdeel:** raakt het iSAQB-curriculumonderdeel "de relatie tussen model en code" en, zijdelings, context mapping (ACL is één van de zeven patronen uit niveau 2, deel 14 — hier herhaald en verdiept in een nieuwe toepassing: een grens binnen één systeem, niet tussen twee systemen).</w:t>
      </w:r>
    </w:p>
    <w:p>
      <w:pPr>
        <w:pStyle w:val="ListParagraph"/>
        <w:numPr>
          <w:ilvl w:val="0"/>
          <w:numId w:val="1"/>
        </w:numPr>
        <w:spacing w:after="80"/>
      </w:pPr>
      <w:r>
        <w:rPr>
          <w:rFonts w:ascii="Calibri" w:cs="Calibri" w:eastAsia="Calibri" w:hAnsi="Calibri"/>
          <w:sz w:val="22"/>
          <w:szCs w:val="22"/>
        </w:rPr>
        <w:t xml:space="preserve">**Werkvorm:** de saneringstoets (nieuw instrument van dit deel).</w:t>
      </w:r>
    </w:p>
    <w:p>
      <w:pPr>
        <w:pStyle w:val="ListParagraph"/>
        <w:numPr>
          <w:ilvl w:val="0"/>
          <w:numId w:val="1"/>
        </w:numPr>
        <w:spacing w:after="80"/>
      </w:pPr>
      <w:r>
        <w:rPr>
          <w:rFonts w:ascii="Calibri" w:cs="Calibri" w:eastAsia="Calibri" w:hAnsi="Calibri"/>
          <w:sz w:val="22"/>
          <w:szCs w:val="22"/>
        </w:rPr>
        <w:t xml:space="preserve">**Duur:** één dagdeel (circa 3 uur inclusief korte pauze).</w:t>
      </w:r>
    </w:p>
    <w:p>
      <w:pPr>
        <w:pStyle w:val="ListParagraph"/>
        <w:numPr>
          <w:ilvl w:val="0"/>
          <w:numId w:val="1"/>
        </w:numPr>
        <w:spacing w:after="80"/>
      </w:pPr>
      <w:r>
        <w:rPr>
          <w:rFonts w:ascii="Calibri" w:cs="Calibri" w:eastAsia="Calibri" w:hAnsi="Calibri"/>
          <w:sz w:val="22"/>
          <w:szCs w:val="22"/>
        </w:rPr>
        <w:t xml:space="preserve">**Voorbereiding deelnemers:** deel 23 gelezen, met name reader §23.6 (de herijkte KERN-uitspraak). Kennis van het ACL-patroon uit niveau 2 deel 14 is nuttig maar wordt in §24.5 kort herhaald.</w:t>
      </w:r>
    </w:p>
    <w:p>
      <w:pPr>
        <w:pStyle w:val="Heading2"/>
        <w:spacing w:after="120" w:before="200"/>
      </w:pPr>
      <w:r>
        <w:rPr>
          <w:rFonts w:ascii="Georgia" w:cs="Georgia" w:eastAsia="Georgia" w:hAnsi="Georgia"/>
          <w:b/>
          <w:bCs/>
          <w:color w:val="2C5AA0"/>
          <w:sz w:val="28"/>
          <w:szCs w:val="28"/>
        </w:rPr>
        <w:t xml:space="preserve">2. Tijdschema (dagdeel van circa 3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korte terugblik op deel 23, aankondiging van de casus (reader §24.1-24.2)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grote bal modder en de twee uiterste routes (reader §24.3)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en 2 — de twee uiterste routes herkennen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strangler fig (reader §24.4)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anti-corruption layer (reader §24.5)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een ACL ontwerpen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de saneringstoets (reader §24.6)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de saneringstoets op een eigen casus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de saneringstoets op KERN, vergelijken met reader §24.7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(reflectie) en vooruitblik (reader §24.8)</w:t>
            </w:r>
          </w:p>
        </w:tc>
      </w:tr>
    </w:tbl>
    <w:p>
      <w:pPr>
        <w:pStyle w:val="Heading2"/>
        <w:spacing w:after="120" w:before="200"/>
      </w:pPr>
      <w:r>
        <w:rPr>
          <w:rFonts w:ascii="Georgia" w:cs="Georgia" w:eastAsia="Georgia" w:hAnsi="Georgia"/>
          <w:b/>
          <w:bCs/>
          <w:color w:val="2C5AA0"/>
          <w:sz w:val="28"/>
          <w:szCs w:val="28"/>
        </w:rPr>
        <w:t xml:space="preserve">3. De opening: waarom Vera, niet Daan, dit deel draagt</w:t>
      </w:r>
    </w:p>
    <w:p>
      <w:pPr>
        <w:spacing w:after="140" w:line="300"/>
      </w:pPr>
      <w:r>
        <w:rPr>
          <w:rFonts w:ascii="Calibri" w:cs="Calibri" w:eastAsia="Calibri" w:hAnsi="Calibri"/>
          <w:b w:val="false"/>
          <w:bCs w:val="false"/>
          <w:i w:val="false"/>
          <w:iCs w:val="false"/>
          <w:sz w:val="22"/>
          <w:szCs w:val="22"/>
        </w:rPr>
        <w:t xml:space="preserve">Anders dan in deel 23 is Daan hier niet de architect met het meeste overzicht — Vera is dat, en het deel is er nadrukkelijk op gebouwd dat zíj degene is die de sanering voorstelt en verdedigt. Benoem dit expliciet bij de opening: het is een bewuste verschuiving die laat zien dat de vaardigheden van dit niveau niet aan één personage vastzitten. Laat de groep, voordat je de theorie introduceert, kort reageren op Vera's erkenning in reader §24.2 ("ik ken de oudste helft alleen van de uitzonderingen die ik erin ben tegengekomen") — herkenning van dit patroon (een senior architect die een deel van "haar eigen" systeem niet meer volledig kent) opent de groep meestal snel voor het onderwerp.</w:t>
      </w:r>
    </w:p>
    <w:p>
      <w:pPr>
        <w:pStyle w:val="Heading2"/>
        <w:spacing w:after="120" w:before="200"/>
      </w:pPr>
      <w:r>
        <w:rPr>
          <w:rFonts w:ascii="Georgia" w:cs="Georgia" w:eastAsia="Georgia" w:hAnsi="Georgia"/>
          <w:b/>
          <w:bCs/>
          <w:color w:val="2C5AA0"/>
          <w:sz w:val="28"/>
          <w:szCs w:val="28"/>
        </w:rPr>
        <w:t xml:space="preserve">4. Veelgemaakte fouten bij de twee uiterste routes (opdracht 1 en 2)</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verdedigen de big bang als "sneller, want geen dubbel onderhoud"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Onderschatting van het omschakelrisico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gebeurt er als op de omschakeldatum zelf een fout wordt ontdekt die niemand vooraf zag, in een systeem dat niemand volledig kent?"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zien de strangler fig als "gewoon uitstel met een andere naam"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geleidelijke migratie met een concreet eindpunt en ongestructureerd uitstel zonder eindpunt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Wijs op het verschil: een strangler-fig-aanpak heeft een routeringslaag, afgebakende stukken en een volgorde — uitstel heeft geen van drieën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denken dat een ACL en een strangler-slice hetzelfde zijn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 lossen inderdaad een verwant probleem op, maar op een ander niveau (bescherming tijdens de overgang versus daadwerkelijke vervanging)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"als je alleen een ACL bouwt en nooit migreert, wanneer verdwijnt het oude systeem dan?" (antwoord: nooit — een ACL alléén is geen saneringsstrategie, hij maakt er één mogelijk)</w:t>
            </w:r>
          </w:p>
        </w:tc>
      </w:tr>
    </w:tbl>
    <w:p>
      <w:pPr>
        <w:pStyle w:val="Heading2"/>
        <w:spacing w:after="120" w:before="200"/>
      </w:pPr>
      <w:r>
        <w:rPr>
          <w:rFonts w:ascii="Georgia" w:cs="Georgia" w:eastAsia="Georgia" w:hAnsi="Georgia"/>
          <w:b/>
          <w:bCs/>
          <w:color w:val="2C5AA0"/>
          <w:sz w:val="28"/>
          <w:szCs w:val="28"/>
        </w:rPr>
        <w:t xml:space="preserve">5. Begeleiding bij de ACL-opdracht (opdracht 3 en 4)</w:t>
      </w:r>
    </w:p>
    <w:p>
      <w:pPr>
        <w:spacing w:after="140" w:line="300"/>
      </w:pPr>
      <w:r>
        <w:rPr>
          <w:rFonts w:ascii="Calibri" w:cs="Calibri" w:eastAsia="Calibri" w:hAnsi="Calibri"/>
          <w:b w:val="false"/>
          <w:bCs w:val="false"/>
          <w:i w:val="false"/>
          <w:iCs w:val="false"/>
          <w:sz w:val="22"/>
          <w:szCs w:val="22"/>
        </w:rPr>
        <w:t xml:space="preserve">De meest voorkomende zwakte is een vertaling die de bekende verwarring oplost maar een nieuwe, onopgemerkte introduceert (zie werkboek, uitwerking opdracht 4 — het over het hoofd zien van de 2004-patch). Laat groepen, voordat ze hun ACL presenteren, expliciet benoemen welk aanvullend gegeven ze gebruiken om onderscheid te maken tussen de toestanden — een groepje dat dat niet kan benoemen, heeft waarschijnlijk een aanname gemaakt in plaats van een vertaling ontworpen.</w:t>
      </w:r>
    </w:p>
    <w:p>
      <w:pPr>
        <w:pStyle w:val="Heading2"/>
        <w:spacing w:after="120" w:before="200"/>
      </w:pPr>
      <w:r>
        <w:rPr>
          <w:rFonts w:ascii="Georgia" w:cs="Georgia" w:eastAsia="Georgia" w:hAnsi="Georgia"/>
          <w:b/>
          <w:bCs/>
          <w:color w:val="2C5AA0"/>
          <w:sz w:val="28"/>
          <w:szCs w:val="28"/>
        </w:rPr>
        <w:t xml:space="preserve">6. Begeleiding bij de saneringstoets (opdracht 5 en 6)</w:t>
      </w:r>
    </w:p>
    <w:p>
      <w:pPr>
        <w:spacing w:after="140" w:line="300"/>
      </w:pPr>
      <w:r>
        <w:rPr>
          <w:rFonts w:ascii="Calibri" w:cs="Calibri" w:eastAsia="Calibri" w:hAnsi="Calibri"/>
          <w:b w:val="false"/>
          <w:bCs w:val="false"/>
          <w:i w:val="false"/>
          <w:iCs w:val="false"/>
          <w:sz w:val="22"/>
          <w:szCs w:val="22"/>
        </w:rPr>
        <w:t xml:space="preserve">Bewaak dat groepen stap 2 (welk instrument) niet overslaan door meteen naar stap 3 (volgorde) te springen. Een veelvoorkomende afwijking: een stuk meteen als "eerst" bestempelen omdat het risicovol klinkt, zonder vast te stellen of het al scherp genoeg is afgebakend om te migreren (strangler-slice) of eerst nog begrijpelijk gemaakt moet worden (ACL). Onderbreek met: "voordat je zegt wanneer — weet je al hoe? Kun je dit stuk vandaag al in één keer migreren, of moet je het eerst kunnen benoemen?"</w:t>
      </w:r>
    </w:p>
    <w:p>
      <w:pPr>
        <w:spacing w:after="140" w:line="300"/>
      </w:pPr>
      <w:r>
        <w:rPr>
          <w:rFonts w:ascii="Calibri" w:cs="Calibri" w:eastAsia="Calibri" w:hAnsi="Calibri"/>
          <w:b w:val="false"/>
          <w:bCs w:val="false"/>
          <w:i w:val="false"/>
          <w:iCs w:val="false"/>
          <w:sz w:val="22"/>
          <w:szCs w:val="22"/>
        </w:rPr>
        <w:t xml:space="preserve">Bij opdracht 6 geldt hetzelfde advies als in deel 23: laat de groep, waar de tijd het toelaat, eerst zelf tot een volgorde komen vóórdat ze reader §24.7 erbij pakken.</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Werkboek deel 24 (met dossierstuk 24-A)</w:t>
      </w:r>
    </w:p>
    <w:p>
      <w:pPr>
        <w:pStyle w:val="ListParagraph"/>
        <w:numPr>
          <w:ilvl w:val="0"/>
          <w:numId w:val="1"/>
        </w:numPr>
        <w:spacing w:after="80"/>
      </w:pPr>
      <w:r>
        <w:rPr>
          <w:rFonts w:ascii="Calibri" w:cs="Calibri" w:eastAsia="Calibri" w:hAnsi="Calibri"/>
          <w:sz w:val="22"/>
          <w:szCs w:val="22"/>
        </w:rPr>
        <w:t xml:space="preserve">Slidedeck deel 24</w:t>
      </w:r>
    </w:p>
    <w:p>
      <w:pPr>
        <w:pStyle w:val="ListParagraph"/>
        <w:numPr>
          <w:ilvl w:val="0"/>
          <w:numId w:val="1"/>
        </w:numPr>
        <w:spacing w:after="80"/>
      </w:pPr>
      <w:r>
        <w:rPr>
          <w:rFonts w:ascii="Calibri" w:cs="Calibri" w:eastAsia="Calibri" w:hAnsi="Calibri"/>
          <w:sz w:val="22"/>
          <w:szCs w:val="22"/>
        </w:rPr>
        <w:t xml:space="preserve">Flip-over of digitaal whiteboard voor opdracht 3 (ACL-ontwerp) en opdracht 6</w:t>
      </w:r>
    </w:p>
    <w:p>
      <w:pPr>
        <w:pStyle w:val="Heading2"/>
        <w:spacing w:after="120" w:before="200"/>
      </w:pPr>
      <w:r>
        <w:rPr>
          <w:rFonts w:ascii="Georgia" w:cs="Georgia" w:eastAsia="Georgia" w:hAnsi="Georgia"/>
          <w:b/>
          <w:bCs/>
          <w:color w:val="2C5AA0"/>
          <w:sz w:val="28"/>
          <w:szCs w:val="28"/>
        </w:rPr>
        <w:t xml:space="preserve">8. Aantekeningen over de sluimerende overname-lijn</w:t>
      </w:r>
    </w:p>
    <w:p>
      <w:pPr>
        <w:spacing w:after="140" w:line="300"/>
      </w:pPr>
      <w:r>
        <w:rPr>
          <w:rFonts w:ascii="Calibri" w:cs="Calibri" w:eastAsia="Calibri" w:hAnsi="Calibri"/>
          <w:b w:val="false"/>
          <w:bCs w:val="false"/>
          <w:i w:val="false"/>
          <w:iCs w:val="false"/>
          <w:sz w:val="22"/>
          <w:szCs w:val="22"/>
        </w:rPr>
        <w:t xml:space="preserve">Reader §24.7 eindigt met een terzijde: Vera meldt een informeel verzoek voor een gesprek met het bestuur "over een mogelijke uitbreiding van de scope," en niemand vraagt door. Dit is een bewust understatement dat de lijn uit deel 23 (het vage bericht over "een overnamekans in de sector") laat doorlopen zonder haar te concretiseren. Geef bij vragen van deelnemers niet meer prijs dan de tekst biedt — de onthulling is voor deel 26. Benoem, als een deelnemer het zelf oppikt, dat dit een bewuste stijlkeuze is: signalen die pas achteraf, bij herlezing, hun gewicht krijgen, zijn precies wat een architect in de praktijk ook vaak eerst laat passeren voordat de relevantie duidelijk wordt.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2026-08-16T19:19:04.918Z</dcterms:created>
  <dcterms:modified xsi:type="dcterms:W3CDTF">2026-08-16T19:19:04.918Z</dcterms:modified>
</cp:coreProperties>
</file>

<file path=docProps/custom.xml><?xml version="1.0" encoding="utf-8"?>
<Properties xmlns="http://schemas.openxmlformats.org/officeDocument/2006/custom-properties" xmlns:vt="http://schemas.openxmlformats.org/officeDocument/2006/docPropsVTypes"/>
</file>