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24 — Grote ballen modder saneren: strangler fig en anti-corruption layer als saneringsstrategie</w:t>
      </w:r>
    </w:p>
    <w:p>
      <w:pPr>
        <w:spacing w:after="140" w:line="300"/>
      </w:pPr>
      <w:r>
        <w:rPr>
          <w:rFonts w:ascii="Calibri" w:cs="Calibri" w:eastAsia="Calibri" w:hAnsi="Calibri"/>
          <w:b w:val="false"/>
          <w:bCs w:val="false"/>
          <w:i w:val="false"/>
          <w:iCs w:val="false"/>
          <w:sz w:val="22"/>
          <w:szCs w:val="22"/>
        </w:rPr>
        <w:t xml:space="preserve">Werkboek · Ductus-cursus Domain-Driven Design · niveau 3 (expert) · deel 24 van 30</w:t>
      </w:r>
    </w:p>
    <w:p>
      <w:pPr>
        <w:spacing w:after="140" w:line="300"/>
      </w:pPr>
      <w:r>
        <w:rPr>
          <w:rFonts w:ascii="Calibri" w:cs="Calibri" w:eastAsia="Calibri" w:hAnsi="Calibri"/>
          <w:b w:val="false"/>
          <w:bCs w:val="false"/>
          <w:i w:val="false"/>
          <w:iCs w:val="false"/>
          <w:sz w:val="22"/>
          <w:szCs w:val="22"/>
        </w:rPr>
        <w:t xml:space="preserve">Eén dagdeel. Opdracht 1 en 2 werken de twee uiterste reacties uit reader §24.3 uit; opdracht 3 en 4 oefenen het ontwerpen van een anti-corruption layer; opdracht 5 en 6 doorlopen de saneringstoets, eerst op een eigen casus, dan op KERN zelf; opdracht 7 is een korte, individuele reflectie. Uitwerkingen staan achterin.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Dossierstuk 24-A — Vera's inventarisatie, ruw genoteerd tijdens het gesprek met Daan en Foppe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Stuk functionaliteit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Kennisbron</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Invaarrelevant?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Statuslogica ("actief" — drie betekenissen)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code + herinnering van twee gepensioneerde medewerkers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Herberekening historische premiegrondslag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code, geen documentatie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Oude rapportagefunctie voor een afgeschaft verslag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code, nauwelijks gebruikt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Koppeling met een intern archiefsysteem uit de jaren negentig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code + één huidige medewerker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 tenzij scans nodig zijn bij bezwaar</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1 — De twee uiterste routes herkennen (15 min, individueel)</w:t>
      </w:r>
    </w:p>
    <w:p>
      <w:pPr>
        <w:spacing w:after="140" w:line="300"/>
      </w:pPr>
      <w:r>
        <w:rPr>
          <w:rFonts w:ascii="Calibri" w:cs="Calibri" w:eastAsia="Calibri" w:hAnsi="Calibri"/>
          <w:b w:val="false"/>
          <w:bCs w:val="false"/>
          <w:i w:val="false"/>
          <w:iCs w:val="false"/>
          <w:sz w:val="22"/>
          <w:szCs w:val="22"/>
        </w:rPr>
        <w:t xml:space="preserve">Lees de volgende twee scenario's. Bepaal bij elk of het team de big-bang-route kiest, de laten-zoals-het-is-route, of geen van beide.</w:t>
      </w:r>
    </w:p>
    <w:p>
      <w:pPr>
        <w:spacing w:after="140" w:line="300"/>
      </w:pPr>
      <w:r>
        <w:rPr>
          <w:rFonts w:ascii="Calibri" w:cs="Calibri" w:eastAsia="Calibri" w:hAnsi="Calibri"/>
          <w:b/>
          <w:bCs/>
          <w:i w:val="false"/>
          <w:iCs w:val="false"/>
          <w:sz w:val="22"/>
          <w:szCs w:val="22"/>
        </w:rPr>
        <w:t xml:space="preserve">Scenario A.</w:t>
      </w:r>
      <w:r>
        <w:rPr>
          <w:rFonts w:ascii="Calibri" w:cs="Calibri" w:eastAsia="Calibri" w:hAnsi="Calibri"/>
          <w:b w:val="false"/>
          <w:bCs w:val="false"/>
          <w:i w:val="false"/>
          <w:iCs w:val="false"/>
          <w:sz w:val="22"/>
          <w:szCs w:val="22"/>
        </w:rPr>
        <w:t xml:space="preserve"> Een bank besluit, na jaren van uitstel, het volledige betalingsverwerkingssysteem in achttien maanden te vervangen door een nieuw systeem, gebouwd op het model dat het architectuurteam nu zou kiezen. Beide systemen draaien tot de omschakeldatum onafhankelijk van elkaar; op de omschakeldatum zelf wordt in één weekend overgeschakeld.</w:t>
      </w:r>
    </w:p>
    <w:p>
      <w:pPr>
        <w:spacing w:after="140" w:line="300"/>
      </w:pPr>
      <w:r>
        <w:rPr>
          <w:rFonts w:ascii="Calibri" w:cs="Calibri" w:eastAsia="Calibri" w:hAnsi="Calibri"/>
          <w:b/>
          <w:bCs/>
          <w:i w:val="false"/>
          <w:iCs w:val="false"/>
          <w:sz w:val="22"/>
          <w:szCs w:val="22"/>
        </w:rPr>
        <w:t xml:space="preserve">Scenario B.</w:t>
      </w:r>
      <w:r>
        <w:rPr>
          <w:rFonts w:ascii="Calibri" w:cs="Calibri" w:eastAsia="Calibri" w:hAnsi="Calibri"/>
          <w:b w:val="false"/>
          <w:bCs w:val="false"/>
          <w:i w:val="false"/>
          <w:iCs w:val="false"/>
          <w:sz w:val="22"/>
          <w:szCs w:val="22"/>
        </w:rPr>
        <w:t xml:space="preserve"> Diezelfde bank besluit, voor het onderdeel dat rentecorrecties berekent, een nieuw model te bouwen dat via een routeringslaag per klantdossier wordt ingeschakeld zodra dat dossier is gemigreerd, terwijl de rest voorlopig via het oude systeem blijft lopen.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2 — Wat kost welke route? (10 min, tweetallen)</w:t>
      </w:r>
    </w:p>
    <w:p>
      <w:pPr>
        <w:spacing w:after="140" w:line="300"/>
      </w:pPr>
      <w:r>
        <w:rPr>
          <w:rFonts w:ascii="Calibri" w:cs="Calibri" w:eastAsia="Calibri" w:hAnsi="Calibri"/>
          <w:b w:val="false"/>
          <w:bCs w:val="false"/>
          <w:i w:val="false"/>
          <w:iCs w:val="false"/>
          <w:sz w:val="22"/>
          <w:szCs w:val="22"/>
        </w:rPr>
        <w:t xml:space="preserve">Bespreek: welk risico draagt scenario A op de omschakeldatum zelf, dat scenario B niet draagt? En welk risico draagt scenario B, over de hele migratieperiode, dat scenario A niet draagt? Formuleer beide in één zin.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3 — Een anti-corruption layer ontwerpen (20 min, groepjes van drie à vier)</w:t>
      </w:r>
    </w:p>
    <w:p>
      <w:pPr>
        <w:spacing w:after="140" w:line="300"/>
      </w:pPr>
      <w:r>
        <w:rPr>
          <w:rFonts w:ascii="Calibri" w:cs="Calibri" w:eastAsia="Calibri" w:hAnsi="Calibri"/>
          <w:b w:val="false"/>
          <w:bCs w:val="false"/>
          <w:i w:val="false"/>
          <w:iCs w:val="false"/>
          <w:sz w:val="22"/>
          <w:szCs w:val="22"/>
        </w:rPr>
        <w:t xml:space="preserve">Een historisch systeem gebruikt één veld, </w:t>
      </w:r>
      <w:r>
        <w:rPr>
          <w:rFonts w:ascii="Calibri" w:cs="Calibri" w:eastAsia="Calibri" w:hAnsi="Calibri"/>
          <w:b w:val="false"/>
          <w:bCs w:val="false"/>
          <w:i w:val="false"/>
          <w:iCs w:val="false"/>
          <w:sz w:val="22"/>
          <w:szCs w:val="22"/>
        </w:rPr>
        <w:t xml:space="preserve">relatiecode</w:t>
      </w:r>
      <w:r>
        <w:rPr>
          <w:rFonts w:ascii="Calibri" w:cs="Calibri" w:eastAsia="Calibri" w:hAnsi="Calibri"/>
          <w:b w:val="false"/>
          <w:bCs w:val="false"/>
          <w:i w:val="false"/>
          <w:iCs w:val="false"/>
          <w:sz w:val="22"/>
          <w:szCs w:val="22"/>
        </w:rPr>
        <w:t xml:space="preserve">, voor drie verschillende betekenissen die in de loop der jaren zijn ontstaan: een lopend samenlevingscontract, een beëindigd samenlevingscontract dat om fiscale redenen nog in de administratie staat, en — door een patch uit 2004 — soms ook een tijdelijke machtiging zonder relatie tot partnerschap. Ontwerp, voor het nieuwe model dat hiermee moet samenwerken, een anti-corruption layer: welke drie (of meer) expliciete, benoemde toestanden vertaal je de </w:t>
      </w:r>
      <w:r>
        <w:rPr>
          <w:rFonts w:ascii="Calibri" w:cs="Calibri" w:eastAsia="Calibri" w:hAnsi="Calibri"/>
          <w:b w:val="false"/>
          <w:bCs w:val="false"/>
          <w:i w:val="false"/>
          <w:iCs w:val="false"/>
          <w:sz w:val="22"/>
          <w:szCs w:val="22"/>
        </w:rPr>
        <w:t xml:space="preserve">relatiecode</w:t>
      </w:r>
      <w:r>
        <w:rPr>
          <w:rFonts w:ascii="Calibri" w:cs="Calibri" w:eastAsia="Calibri" w:hAnsi="Calibri"/>
          <w:b w:val="false"/>
          <w:bCs w:val="false"/>
          <w:i w:val="false"/>
          <w:iCs w:val="false"/>
          <w:sz w:val="22"/>
          <w:szCs w:val="22"/>
        </w:rPr>
        <w:t xml:space="preserve"> naartoe, en op basis van welk aanvullend gegeven (in het historische systeem aanwezig, of niet) kun je onderscheid maken?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4 — Bespreking (10 min, klassikaal)</w:t>
      </w:r>
    </w:p>
    <w:p>
      <w:pPr>
        <w:spacing w:after="140" w:line="300"/>
      </w:pPr>
      <w:r>
        <w:rPr>
          <w:rFonts w:ascii="Calibri" w:cs="Calibri" w:eastAsia="Calibri" w:hAnsi="Calibri"/>
          <w:b w:val="false"/>
          <w:bCs w:val="false"/>
          <w:i w:val="false"/>
          <w:iCs w:val="false"/>
          <w:sz w:val="22"/>
          <w:szCs w:val="22"/>
        </w:rPr>
        <w:t xml:space="preserve">Vergelijk de vertalingen van twee of drie groepjes. Waar verschillen ze, en is dat verschil een kwestie van andere aannames over het historische systeem, of een gat in de vertaling dat bij gebruik van het nieuwe model tot een verkeerde conclusie zou leiden?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5 — De saneringstoets op een eigen casus (25 min, dezelfde groepjes)</w:t>
      </w:r>
    </w:p>
    <w:p>
      <w:pPr>
        <w:spacing w:after="140" w:line="300"/>
      </w:pPr>
      <w:r>
        <w:rPr>
          <w:rFonts w:ascii="Calibri" w:cs="Calibri" w:eastAsia="Calibri" w:hAnsi="Calibri"/>
          <w:b w:val="false"/>
          <w:bCs w:val="false"/>
          <w:i w:val="false"/>
          <w:iCs w:val="false"/>
          <w:sz w:val="22"/>
          <w:szCs w:val="22"/>
        </w:rPr>
        <w:t xml:space="preserve">Een verzekeraar heeft een polisadministratiesysteem uit de jaren tachtig waar vier stukken functionaliteit alleen in code bestaan: (1) een kortingsregel voor langlopende klanten die niemand meer volledig kan herleiden, (2) een koppeling met een intern rapportagesysteem dat nog maar door één afdeling wordt gebruikt, (3) de logica die bepaalt welke polissen automatisch worden verlengd, en (4) een uitzonderingsregel voor polissen die zijn overgenomen bij een fusie in 2011. Er loopt een nieuwe, wettelijke transparantie-eis die vraagt dat de verzekeraar kan aantonen hoe elke premie is opgebouwd, per polis, binnen zes maanden.</w:t>
      </w:r>
    </w:p>
    <w:p>
      <w:pPr>
        <w:spacing w:after="140" w:line="300"/>
      </w:pPr>
      <w:r>
        <w:rPr>
          <w:rFonts w:ascii="Calibri" w:cs="Calibri" w:eastAsia="Calibri" w:hAnsi="Calibri"/>
          <w:b w:val="false"/>
          <w:bCs w:val="false"/>
          <w:i w:val="false"/>
          <w:iCs w:val="false"/>
          <w:sz w:val="22"/>
          <w:szCs w:val="22"/>
        </w:rPr>
        <w:t xml:space="preserve">Doorloop de saneringstoets (reader §24.6) voor deze casus: welke stukken zijn transparantie-relevant, welk instrument (strangler-slice, ACL, of allebei) past bij elk stuk, en in welke volgorde pak je ze aan?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6 — De saneringstoets op KERN (20 min, klassikaal of dezelfde groepjes)</w:t>
      </w:r>
    </w:p>
    <w:p>
      <w:pPr>
        <w:spacing w:after="140" w:line="300"/>
      </w:pPr>
      <w:r>
        <w:rPr>
          <w:rFonts w:ascii="Calibri" w:cs="Calibri" w:eastAsia="Calibri" w:hAnsi="Calibri"/>
          <w:b w:val="false"/>
          <w:bCs w:val="false"/>
          <w:i w:val="false"/>
          <w:iCs w:val="false"/>
          <w:sz w:val="22"/>
          <w:szCs w:val="22"/>
        </w:rPr>
        <w:t xml:space="preserve">Doorloop de saneringstoets nog een keer, nu op dossierstuk 24-A en de casus uit de reader (§24.2, §24.7). Werk zelfstandig een volgorde en instrumentkeuze uit vóórdat je die vergelijkt met wat Vera's team in de reader concludeerde. Waar verschilt jouw redenering, en is dat verschil een kwestie van andere aannames of een gat in de redenering?</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Opdracht 7 — Individuele reflectie (10 min)</w:t>
      </w:r>
    </w:p>
    <w:p>
      <w:pPr>
        <w:spacing w:after="140" w:line="300"/>
      </w:pPr>
      <w:r>
        <w:rPr>
          <w:rFonts w:ascii="Calibri" w:cs="Calibri" w:eastAsia="Calibri" w:hAnsi="Calibri"/>
          <w:b w:val="false"/>
          <w:bCs w:val="false"/>
          <w:i w:val="false"/>
          <w:iCs w:val="false"/>
          <w:sz w:val="22"/>
          <w:szCs w:val="22"/>
        </w:rPr>
        <w:t xml:space="preserve">Ken je, uit je eigen werkpraktijk, een systeem dat door iedereen "een grote bal modder" wordt genoemd zonder dat iemand er ooit een saneringsroute voor heeft uitgestippeld? Welk stuk zou, volgens de saneringstoets, daar als eerste aan de beurt zijn — en waarom is dat tot nu toe niet gebeurd?</w:t>
      </w:r>
    </w:p>
    <w:p>
      <w:pPr>
        <w:spacing w:after="140" w:line="300"/>
      </w:pPr>
      <w:r>
        <w:rPr>
          <w:rFonts w:ascii="Calibri" w:cs="Calibri" w:eastAsia="Calibri" w:hAnsi="Calibri"/>
          <w:sz w:val="22"/>
          <w:szCs w:val="22"/>
        </w:rPr>
        <w:t xml:space="preserve"/>
      </w:r>
    </w:p>
    <w:p>
      <w:pPr>
        <w:pStyle w:val="Heading1"/>
        <w:pBdr>
          <w:bottom w:val="single" w:color="1B2A4A" w:sz="12" w:space="4"/>
        </w:pBdr>
        <w:spacing w:after="160" w:before="240"/>
      </w:pPr>
      <w:r>
        <w:rPr>
          <w:rFonts w:ascii="Georgia" w:cs="Georgia" w:eastAsia="Georgia" w:hAnsi="Georgia"/>
          <w:b/>
          <w:bCs/>
          <w:color w:val="1B2A4A"/>
          <w:sz w:val="36"/>
          <w:szCs w:val="36"/>
        </w:rPr>
        <w:t xml:space="preserve">Uitwerkingen</w:t>
      </w:r>
    </w:p>
    <w:p>
      <w:pPr>
        <w:pStyle w:val="Heading2"/>
        <w:spacing w:after="120" w:before="200"/>
      </w:pPr>
      <w:r>
        <w:rPr>
          <w:rFonts w:ascii="Georgia" w:cs="Georgia" w:eastAsia="Georgia" w:hAnsi="Georgia"/>
          <w:b/>
          <w:bCs/>
          <w:color w:val="2C5AA0"/>
          <w:sz w:val="28"/>
          <w:szCs w:val="28"/>
        </w:rPr>
        <w:t xml:space="preserve">Uitwerking opdracht 1</w:t>
      </w:r>
    </w:p>
    <w:p>
      <w:pPr>
        <w:spacing w:after="140" w:line="300"/>
      </w:pPr>
      <w:r>
        <w:rPr>
          <w:rFonts w:ascii="Calibri" w:cs="Calibri" w:eastAsia="Calibri" w:hAnsi="Calibri"/>
          <w:b/>
          <w:bCs/>
          <w:i w:val="false"/>
          <w:iCs w:val="false"/>
          <w:sz w:val="22"/>
          <w:szCs w:val="22"/>
        </w:rPr>
        <w:t xml:space="preserve">Scenario A</w:t>
      </w:r>
      <w:r>
        <w:rPr>
          <w:rFonts w:ascii="Calibri" w:cs="Calibri" w:eastAsia="Calibri" w:hAnsi="Calibri"/>
          <w:b w:val="false"/>
          <w:bCs w:val="false"/>
          <w:i w:val="false"/>
          <w:iCs w:val="false"/>
          <w:sz w:val="22"/>
          <w:szCs w:val="22"/>
        </w:rPr>
        <w:t xml:space="preserve"> — big-bang-route: één omschakelmoment na een lange bouwperiode, geen geleidelijke overgang.</w:t>
      </w:r>
    </w:p>
    <w:p>
      <w:pPr>
        <w:spacing w:after="140" w:line="300"/>
      </w:pPr>
      <w:r>
        <w:rPr>
          <w:rFonts w:ascii="Calibri" w:cs="Calibri" w:eastAsia="Calibri" w:hAnsi="Calibri"/>
          <w:b/>
          <w:bCs/>
          <w:i w:val="false"/>
          <w:iCs w:val="false"/>
          <w:sz w:val="22"/>
          <w:szCs w:val="22"/>
        </w:rPr>
        <w:t xml:space="preserve">Scenario B</w:t>
      </w:r>
      <w:r>
        <w:rPr>
          <w:rFonts w:ascii="Calibri" w:cs="Calibri" w:eastAsia="Calibri" w:hAnsi="Calibri"/>
          <w:b w:val="false"/>
          <w:bCs w:val="false"/>
          <w:i w:val="false"/>
          <w:iCs w:val="false"/>
          <w:sz w:val="22"/>
          <w:szCs w:val="22"/>
        </w:rPr>
        <w:t xml:space="preserve"> — strangler-fig-route: een routeringslaag per klantdossier, geleidelijke migratie, oud en nieuw draaien lang naast elkaar.</w:t>
      </w:r>
    </w:p>
    <w:p>
      <w:pPr>
        <w:pStyle w:val="Heading2"/>
        <w:spacing w:after="120" w:before="200"/>
      </w:pPr>
      <w:r>
        <w:rPr>
          <w:rFonts w:ascii="Georgia" w:cs="Georgia" w:eastAsia="Georgia" w:hAnsi="Georgia"/>
          <w:b/>
          <w:bCs/>
          <w:color w:val="2C5AA0"/>
          <w:sz w:val="28"/>
          <w:szCs w:val="28"/>
        </w:rPr>
        <w:t xml:space="preserve">Uitwerking opdracht 2</w:t>
      </w:r>
    </w:p>
    <w:p>
      <w:pPr>
        <w:spacing w:after="140" w:line="300"/>
      </w:pPr>
      <w:r>
        <w:rPr>
          <w:rFonts w:ascii="Calibri" w:cs="Calibri" w:eastAsia="Calibri" w:hAnsi="Calibri"/>
          <w:b w:val="false"/>
          <w:bCs w:val="false"/>
          <w:i w:val="false"/>
          <w:iCs w:val="false"/>
          <w:sz w:val="22"/>
          <w:szCs w:val="22"/>
        </w:rPr>
        <w:t xml:space="preserve">Scenario A draagt op de omschakeldatum zelf het risico dat het hele systeem, voor alle klanten tegelijk, voor het eerst onder productie-omstandigheden wordt getest — een fout raakt in één keer iedereen. Scenario B draagt, over de hele migratieperiode, het risico dat twee systemen lang naast elkaar moeten worden onderhouden en dat de routeringslaag zelf een nieuwe foutbron is — een langere periode van verhoogde complexiteit, in ruil voor een kleiner risico per stap.</w:t>
      </w:r>
    </w:p>
    <w:p>
      <w:pPr>
        <w:pStyle w:val="Heading2"/>
        <w:spacing w:after="120" w:before="200"/>
      </w:pPr>
      <w:r>
        <w:rPr>
          <w:rFonts w:ascii="Georgia" w:cs="Georgia" w:eastAsia="Georgia" w:hAnsi="Georgia"/>
          <w:b/>
          <w:bCs/>
          <w:color w:val="2C5AA0"/>
          <w:sz w:val="28"/>
          <w:szCs w:val="28"/>
        </w:rPr>
        <w:t xml:space="preserve">Uitwerking opdracht 3 (voorbeeld)</w:t>
      </w:r>
    </w:p>
    <w:p>
      <w:pPr>
        <w:spacing w:after="140" w:line="300"/>
      </w:pPr>
      <w:r>
        <w:rPr>
          <w:rFonts w:ascii="Calibri" w:cs="Calibri" w:eastAsia="Calibri" w:hAnsi="Calibri"/>
          <w:b w:val="false"/>
          <w:bCs w:val="false"/>
          <w:i w:val="false"/>
          <w:iCs w:val="false"/>
          <w:sz w:val="22"/>
          <w:szCs w:val="22"/>
        </w:rPr>
        <w:t xml:space="preserve">Drie expliciete toestanden: </w:t>
      </w:r>
      <w:r>
        <w:rPr>
          <w:rFonts w:ascii="Calibri" w:cs="Calibri" w:eastAsia="Calibri" w:hAnsi="Calibri"/>
          <w:b w:val="false"/>
          <w:bCs w:val="false"/>
          <w:i w:val="false"/>
          <w:iCs w:val="false"/>
          <w:sz w:val="22"/>
          <w:szCs w:val="22"/>
        </w:rPr>
        <w:t xml:space="preserve">partnerschap_actief</w:t>
      </w:r>
      <w:r>
        <w:rPr>
          <w:rFonts w:ascii="Calibri" w:cs="Calibri" w:eastAsia="Calibri" w:hAnsi="Calibri"/>
          <w:b w:val="false"/>
          <w:bCs w:val="false"/>
          <w:i w:val="false"/>
          <w:iCs w:val="false"/>
          <w:sz w:val="22"/>
          <w:szCs w:val="22"/>
        </w:rPr>
        <w:t xml:space="preserve"> (lopend samenlevingscontract), </w:t>
      </w:r>
      <w:r>
        <w:rPr>
          <w:rFonts w:ascii="Calibri" w:cs="Calibri" w:eastAsia="Calibri" w:hAnsi="Calibri"/>
          <w:b w:val="false"/>
          <w:bCs w:val="false"/>
          <w:i w:val="false"/>
          <w:iCs w:val="false"/>
          <w:sz w:val="22"/>
          <w:szCs w:val="22"/>
        </w:rPr>
        <w:t xml:space="preserve">partnerschap_beëindigd_fiscaal_relevant</w:t>
      </w:r>
      <w:r>
        <w:rPr>
          <w:rFonts w:ascii="Calibri" w:cs="Calibri" w:eastAsia="Calibri" w:hAnsi="Calibri"/>
          <w:b w:val="false"/>
          <w:bCs w:val="false"/>
          <w:i w:val="false"/>
          <w:iCs w:val="false"/>
          <w:sz w:val="22"/>
          <w:szCs w:val="22"/>
        </w:rPr>
        <w:t xml:space="preserve"> (beëindigd, maar met een lopende fiscale nawerking), en </w:t>
      </w:r>
      <w:r>
        <w:rPr>
          <w:rFonts w:ascii="Calibri" w:cs="Calibri" w:eastAsia="Calibri" w:hAnsi="Calibri"/>
          <w:b w:val="false"/>
          <w:bCs w:val="false"/>
          <w:i w:val="false"/>
          <w:iCs w:val="false"/>
          <w:sz w:val="22"/>
          <w:szCs w:val="22"/>
        </w:rPr>
        <w:t xml:space="preserve">machtiging_tijdelijk</w:t>
      </w:r>
      <w:r>
        <w:rPr>
          <w:rFonts w:ascii="Calibri" w:cs="Calibri" w:eastAsia="Calibri" w:hAnsi="Calibri"/>
          <w:b w:val="false"/>
          <w:bCs w:val="false"/>
          <w:i w:val="false"/>
          <w:iCs w:val="false"/>
          <w:sz w:val="22"/>
          <w:szCs w:val="22"/>
        </w:rPr>
        <w:t xml:space="preserve"> (de uitzondering uit de patch van 2004, geen partnerschap). Het onderscheidende gegeven is meestal een combinatie van een einddatumveld (leeg bij actief, gevuld bij beëindigd) en een apart, zelden gebruikt machtigingsvlag dat de patch van 2004 introduceerde — een groepje dat dat vlag niet kent, kan de derde toestand niet onderscheiden van de eerste twee en loopt vast op precies het soort verwarring die de ACL had moeten voorkomen.</w:t>
      </w:r>
    </w:p>
    <w:p>
      <w:pPr>
        <w:pStyle w:val="Heading2"/>
        <w:spacing w:after="120" w:before="200"/>
      </w:pPr>
      <w:r>
        <w:rPr>
          <w:rFonts w:ascii="Georgia" w:cs="Georgia" w:eastAsia="Georgia" w:hAnsi="Georgia"/>
          <w:b/>
          <w:bCs/>
          <w:color w:val="2C5AA0"/>
          <w:sz w:val="28"/>
          <w:szCs w:val="28"/>
        </w:rPr>
        <w:t xml:space="preserve">Uitwerking opdracht 4</w:t>
      </w:r>
    </w:p>
    <w:p>
      <w:pPr>
        <w:spacing w:after="140" w:line="300"/>
      </w:pPr>
      <w:r>
        <w:rPr>
          <w:rFonts w:ascii="Calibri" w:cs="Calibri" w:eastAsia="Calibri" w:hAnsi="Calibri"/>
          <w:b w:val="false"/>
          <w:bCs w:val="false"/>
          <w:i w:val="false"/>
          <w:iCs w:val="false"/>
          <w:sz w:val="22"/>
          <w:szCs w:val="22"/>
        </w:rPr>
        <w:t xml:space="preserve">Geen vast antwoord. Een veelvoorkomend verschil: groepjes die de machtiging (2004-patch) over het hoofd zien en alle </w:t>
      </w:r>
      <w:r>
        <w:rPr>
          <w:rFonts w:ascii="Calibri" w:cs="Calibri" w:eastAsia="Calibri" w:hAnsi="Calibri"/>
          <w:b w:val="false"/>
          <w:bCs w:val="false"/>
          <w:i w:val="false"/>
          <w:iCs w:val="false"/>
          <w:sz w:val="22"/>
          <w:szCs w:val="22"/>
        </w:rPr>
        <w:t xml:space="preserve">relatiecode</w:t>
      </w:r>
      <w:r>
        <w:rPr>
          <w:rFonts w:ascii="Calibri" w:cs="Calibri" w:eastAsia="Calibri" w:hAnsi="Calibri"/>
          <w:b w:val="false"/>
          <w:bCs w:val="false"/>
          <w:i w:val="false"/>
          <w:iCs w:val="false"/>
          <w:sz w:val="22"/>
          <w:szCs w:val="22"/>
        </w:rPr>
        <w:t xml:space="preserve">-waarden in twee in plaats van drie toestanden vertalen — een voorbeeld van een ACL die niet grondig genoeg is: hij lost de bekende verwarring op, maar introduceert een nieuwe, onopgemerkte.</w:t>
      </w:r>
    </w:p>
    <w:p>
      <w:pPr>
        <w:pStyle w:val="Heading2"/>
        <w:spacing w:after="120" w:before="200"/>
      </w:pPr>
      <w:r>
        <w:rPr>
          <w:rFonts w:ascii="Georgia" w:cs="Georgia" w:eastAsia="Georgia" w:hAnsi="Georgia"/>
          <w:b/>
          <w:bCs/>
          <w:color w:val="2C5AA0"/>
          <w:sz w:val="28"/>
          <w:szCs w:val="28"/>
        </w:rPr>
        <w:t xml:space="preserve">Uitwerking opdracht 5 (voorbeeld)</w:t>
      </w:r>
    </w:p>
    <w:p>
      <w:pPr>
        <w:spacing w:after="140" w:line="300"/>
      </w:pPr>
      <w:r>
        <w:rPr>
          <w:rFonts w:ascii="Calibri" w:cs="Calibri" w:eastAsia="Calibri" w:hAnsi="Calibri"/>
          <w:b w:val="false"/>
          <w:bCs w:val="false"/>
          <w:i w:val="false"/>
          <w:iCs w:val="false"/>
          <w:sz w:val="22"/>
          <w:szCs w:val="22"/>
        </w:rPr>
        <w:t xml:space="preserve">Transparantie-relevant: (1) de kortingsregel en (3) de automatische-verlengingslogica — beide raken rechtstreeks hoe een premie is opgebouwd. Niet transparantie-relevant op korte termijn: (2) de rapportagekoppeling en (4) de fusie-uitzonderingsregel (tenzij blijkt dat overgenomen polissen een afwijkende premieopbouw hebben, wat eerst apart moet worden nagegaan).</w:t>
      </w:r>
    </w:p>
    <w:p>
      <w:pPr>
        <w:spacing w:after="140" w:line="300"/>
      </w:pPr>
      <w:r>
        <w:rPr>
          <w:rFonts w:ascii="Calibri" w:cs="Calibri" w:eastAsia="Calibri" w:hAnsi="Calibri"/>
          <w:b w:val="false"/>
          <w:bCs w:val="false"/>
          <w:i w:val="false"/>
          <w:iCs w:val="false"/>
          <w:sz w:val="22"/>
          <w:szCs w:val="22"/>
        </w:rPr>
        <w:t xml:space="preserve">Voor (1): begin met een ACL — de regel is niet scherp genoeg afgebakend om meteen te migreren; eerst expliciet benoemen wat de regel precies doet, per uitzonderingsgeval. Voor (3): een strangler-slice ligt dichterbij, omdat de logica al redelijk afgebakend is (welke polissen wel/niet automatisch verlengen); een ACL is hier vooral nuttig voor de overgangsperiode.</w:t>
      </w:r>
    </w:p>
    <w:p>
      <w:pPr>
        <w:spacing w:after="140" w:line="300"/>
      </w:pPr>
      <w:r>
        <w:rPr>
          <w:rFonts w:ascii="Calibri" w:cs="Calibri" w:eastAsia="Calibri" w:hAnsi="Calibri"/>
          <w:b w:val="false"/>
          <w:bCs w:val="false"/>
          <w:i w:val="false"/>
          <w:iCs w:val="false"/>
          <w:sz w:val="22"/>
          <w:szCs w:val="22"/>
        </w:rPr>
        <w:t xml:space="preserve">Volgorde: eerst (1), omdat de kortingsregel het minst doorzichtig is én het meest direct de premieopbouw raakt; dan (3); (2) en (4) op de lijst voor later, met de aantekening dat (4) alsnog naar voren moet als blijkt dat de fusiepolissen een afwijkende opbouw hebben.</w:t>
      </w:r>
    </w:p>
    <w:p>
      <w:pPr>
        <w:pStyle w:val="Heading2"/>
        <w:spacing w:after="120" w:before="200"/>
      </w:pPr>
      <w:r>
        <w:rPr>
          <w:rFonts w:ascii="Georgia" w:cs="Georgia" w:eastAsia="Georgia" w:hAnsi="Georgia"/>
          <w:b/>
          <w:bCs/>
          <w:color w:val="2C5AA0"/>
          <w:sz w:val="28"/>
          <w:szCs w:val="28"/>
        </w:rPr>
        <w:t xml:space="preserve">Uitwerking opdracht 6</w:t>
      </w:r>
    </w:p>
    <w:p>
      <w:pPr>
        <w:spacing w:after="140" w:line="300"/>
      </w:pPr>
      <w:r>
        <w:rPr>
          <w:rFonts w:ascii="Calibri" w:cs="Calibri" w:eastAsia="Calibri" w:hAnsi="Calibri"/>
          <w:b w:val="false"/>
          <w:bCs w:val="false"/>
          <w:i w:val="false"/>
          <w:iCs w:val="false"/>
          <w:sz w:val="22"/>
          <w:szCs w:val="22"/>
        </w:rPr>
        <w:t xml:space="preserve">Vergelijk met reader §24.7: eerste prioriteit is de statuslogica (ACL, om de drie betekenissen van "actief" expliciet te maken vóórdat ze beoordeeld kunnen worden op datakwaliteit), gevolgd door de premiegrondslagregel — beide invaarrelevant. De rapportagefunctie en de archiefkoppeling gaan op de lijst voor ná 1 januari 2028, met de kanttekening dat de archiefkoppeling alsnog naar voren moet als scans nodig blijken bij bezwaarprocedures. Een veelvoorkomend verschil in eigen uitwerkingen: beginnen met de premiegrondslagregel omdat die "risicovoller klinkt", zonder te toetsen of hij ook minder scherp is afgebakend dan de statuslogica — waarmee stap 2 van de saneringstoets wordt overgeslagen.</w:t>
      </w:r>
    </w:p>
    <w:p>
      <w:pPr>
        <w:pStyle w:val="Heading2"/>
        <w:spacing w:after="120" w:before="200"/>
      </w:pPr>
      <w:r>
        <w:rPr>
          <w:rFonts w:ascii="Georgia" w:cs="Georgia" w:eastAsia="Georgia" w:hAnsi="Georgia"/>
          <w:b/>
          <w:bCs/>
          <w:color w:val="2C5AA0"/>
          <w:sz w:val="28"/>
          <w:szCs w:val="28"/>
        </w:rPr>
        <w:t xml:space="preserve">Uitwerking opdracht 7</w:t>
      </w:r>
    </w:p>
    <w:p>
      <w:pPr>
        <w:spacing w:after="140" w:line="300"/>
      </w:pPr>
      <w:r>
        <w:rPr>
          <w:rFonts w:ascii="Calibri" w:cs="Calibri" w:eastAsia="Calibri" w:hAnsi="Calibri"/>
          <w:b w:val="false"/>
          <w:bCs w:val="false"/>
          <w:i w:val="false"/>
          <w:iCs w:val="false"/>
          <w:sz w:val="22"/>
          <w:szCs w:val="22"/>
        </w:rPr>
        <w:t xml:space="preserve">Geen vaste uitwerking — persoonlijke reflectie. Bespreek in de klassikale afsluiting, als de groep dat wil, een voorbeeld zonder namen van organisaties of personen te noemen.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2026-08-16T19:19:04.886Z</dcterms:created>
  <dcterms:modified xsi:type="dcterms:W3CDTF">2026-08-16T19:19:04.886Z</dcterms:modified>
</cp:coreProperties>
</file>

<file path=docProps/custom.xml><?xml version="1.0" encoding="utf-8"?>
<Properties xmlns="http://schemas.openxmlformats.org/officeDocument/2006/custom-properties" xmlns:vt="http://schemas.openxmlformats.org/officeDocument/2006/docPropsVTypes"/>
</file>