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25 — Consequenties van bounded contexts voor consistentie: eventual consistency en sagas, conceptueel</w:t>
      </w:r>
    </w:p>
    <w:p>
      <w:pPr>
        <w:spacing w:after="140" w:line="300"/>
      </w:pPr>
      <w:r>
        <w:rPr>
          <w:rFonts w:ascii="Calibri" w:cs="Calibri" w:eastAsia="Calibri" w:hAnsi="Calibri"/>
          <w:b w:val="false"/>
          <w:bCs w:val="false"/>
          <w:i w:val="false"/>
          <w:iCs w:val="false"/>
          <w:sz w:val="22"/>
          <w:szCs w:val="22"/>
        </w:rPr>
        <w:t xml:space="preserve">Werkboek · Ductus-cursus Domain-Driven Design · niveau 3 (expert) · deel 25 van 30</w:t>
      </w:r>
    </w:p>
    <w:p>
      <w:pPr>
        <w:spacing w:after="140" w:line="300"/>
      </w:pPr>
      <w:r>
        <w:rPr>
          <w:rFonts w:ascii="Calibri" w:cs="Calibri" w:eastAsia="Calibri" w:hAnsi="Calibri"/>
          <w:b w:val="false"/>
          <w:bCs w:val="false"/>
          <w:i w:val="false"/>
          <w:iCs w:val="false"/>
          <w:sz w:val="22"/>
          <w:szCs w:val="22"/>
        </w:rPr>
        <w:t xml:space="preserve">Eén dagdeel. Opdracht 1 en 2 oefenen het onderscheid strikt/eventueel; opdracht 3 en 4 werken een saga met compensatie uit; opdracht 5 en 6 doorlopen de garantiekaart, eerst op een eigen casus, dan op het invaarproces; opdracht 7 is een korte, individuele reflectie. Uitwerkingen staan achterin.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25-A — Otto's oorspronkelijke batchschets, later verworpen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Stap</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Systeem</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Aanname (later ontkracht)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KERN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Omzetting aanspraak, per deelnemer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Invaaradministratie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Registratie resultaat, direct aansluitend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Mutatieplatform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"Weet meteen" dat de deelnemer is ingevaren</w:t>
            </w:r>
          </w:p>
        </w:tc>
      </w:tr>
    </w:tbl>
    <w:p>
      <w:pPr>
        <w:spacing w:after="140" w:line="300"/>
      </w:pPr>
      <w:r>
        <w:rPr>
          <w:rFonts w:ascii="Calibri" w:cs="Calibri" w:eastAsia="Calibri" w:hAnsi="Calibri"/>
          <w:b w:val="false"/>
          <w:bCs w:val="false"/>
          <w:i w:val="false"/>
          <w:iCs w:val="false"/>
          <w:sz w:val="22"/>
          <w:szCs w:val="22"/>
        </w:rPr>
        <w:t xml:space="preserve">Otto's aanname: stap 1, 2 en 3 gebeuren, voor praktische doeleinden, "tegelijk genoeg." De sessie in reader §25.2-25.7 legt bloot dat dat niet het geval is.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 — Strikt of eventueel? (15 min, individueel)</w:t>
      </w:r>
    </w:p>
    <w:p>
      <w:pPr>
        <w:spacing w:after="140" w:line="300"/>
      </w:pPr>
      <w:r>
        <w:rPr>
          <w:rFonts w:ascii="Calibri" w:cs="Calibri" w:eastAsia="Calibri" w:hAnsi="Calibri"/>
          <w:b w:val="false"/>
          <w:bCs w:val="false"/>
          <w:i w:val="false"/>
          <w:iCs w:val="false"/>
          <w:sz w:val="22"/>
          <w:szCs w:val="22"/>
        </w:rPr>
        <w:t xml:space="preserve">Bepaal voor elk van de volgende relaties of strikte consistentie noodzakelijk is, of dat eventual consistency aanvaardbaar is — en waarom.</w:t>
      </w:r>
    </w:p>
    <w:p>
      <w:pPr>
        <w:spacing w:after="140" w:line="300"/>
      </w:pPr>
      <w:r>
        <w:rPr>
          <w:rFonts w:ascii="Calibri" w:cs="Calibri" w:eastAsia="Calibri" w:hAnsi="Calibri"/>
          <w:b/>
          <w:bCs/>
          <w:i w:val="false"/>
          <w:iCs w:val="false"/>
          <w:sz w:val="22"/>
          <w:szCs w:val="22"/>
        </w:rPr>
        <w:t xml:space="preserve">Relatie A.</w:t>
      </w:r>
      <w:r>
        <w:rPr>
          <w:rFonts w:ascii="Calibri" w:cs="Calibri" w:eastAsia="Calibri" w:hAnsi="Calibri"/>
          <w:b w:val="false"/>
          <w:bCs w:val="false"/>
          <w:i w:val="false"/>
          <w:iCs w:val="false"/>
          <w:sz w:val="22"/>
          <w:szCs w:val="22"/>
        </w:rPr>
        <w:t xml:space="preserve"> Binnen KERN: het bedrag van een aanspraak en de status "omgezet" van diezelfde aanspraak, voor dezelfde deelnemer, op hetzelfde moment.</w:t>
      </w:r>
    </w:p>
    <w:p>
      <w:pPr>
        <w:spacing w:after="140" w:line="300"/>
      </w:pPr>
      <w:r>
        <w:rPr>
          <w:rFonts w:ascii="Calibri" w:cs="Calibri" w:eastAsia="Calibri" w:hAnsi="Calibri"/>
          <w:b/>
          <w:bCs/>
          <w:i w:val="false"/>
          <w:iCs w:val="false"/>
          <w:sz w:val="22"/>
          <w:szCs w:val="22"/>
        </w:rPr>
        <w:t xml:space="preserve">Relatie B.</w:t>
      </w:r>
      <w:r>
        <w:rPr>
          <w:rFonts w:ascii="Calibri" w:cs="Calibri" w:eastAsia="Calibri" w:hAnsi="Calibri"/>
          <w:b w:val="false"/>
          <w:bCs w:val="false"/>
          <w:i w:val="false"/>
          <w:iCs w:val="false"/>
          <w:sz w:val="22"/>
          <w:szCs w:val="22"/>
        </w:rPr>
        <w:t xml:space="preserve"> Tussen Wegwijzer en het Mutatieplatform: een adreswijziging die een deelnemer zelf heeft doorgegeven, en het moment waarop die wijziging zichtbaar wordt in het overzicht dat de deelnemer in Wegwijzer ziet.</w:t>
      </w:r>
    </w:p>
    <w:p>
      <w:pPr>
        <w:spacing w:after="140" w:line="300"/>
      </w:pPr>
      <w:r>
        <w:rPr>
          <w:rFonts w:ascii="Calibri" w:cs="Calibri" w:eastAsia="Calibri" w:hAnsi="Calibri"/>
          <w:b/>
          <w:bCs/>
          <w:i w:val="false"/>
          <w:iCs w:val="false"/>
          <w:sz w:val="22"/>
          <w:szCs w:val="22"/>
        </w:rPr>
        <w:t xml:space="preserve">Relatie C.</w:t>
      </w:r>
      <w:r>
        <w:rPr>
          <w:rFonts w:ascii="Calibri" w:cs="Calibri" w:eastAsia="Calibri" w:hAnsi="Calibri"/>
          <w:b w:val="false"/>
          <w:bCs w:val="false"/>
          <w:i w:val="false"/>
          <w:iCs w:val="false"/>
          <w:sz w:val="22"/>
          <w:szCs w:val="22"/>
        </w:rPr>
        <w:t xml:space="preserve"> Tussen KERN en de invaaradministratie: het moment waarop een aanspraak in KERN is omgezet, en het moment waarop diezelfde omzetting is geregistreerd voor het implementatieplan.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Bespreking (10 min, tweetallen)</w:t>
      </w:r>
    </w:p>
    <w:p>
      <w:pPr>
        <w:spacing w:after="140" w:line="300"/>
      </w:pPr>
      <w:r>
        <w:rPr>
          <w:rFonts w:ascii="Calibri" w:cs="Calibri" w:eastAsia="Calibri" w:hAnsi="Calibri"/>
          <w:b w:val="false"/>
          <w:bCs w:val="false"/>
          <w:i w:val="false"/>
          <w:iCs w:val="false"/>
          <w:sz w:val="22"/>
          <w:szCs w:val="22"/>
        </w:rPr>
        <w:t xml:space="preserve">Bespreek: welke van de drie relaties zou, als de tussentijd te lang duurt zonder dat iemand het merkt, het grootste probleem opleveren bij een DNB-toets — en waarom is dat niet automatisch de relatie met de langste technische verwerkingstijd?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Een saga met compensatie ontwerpen (25 min, groepjes van drie à vier)</w:t>
      </w:r>
    </w:p>
    <w:p>
      <w:pPr>
        <w:spacing w:after="140" w:line="300"/>
      </w:pPr>
      <w:r>
        <w:rPr>
          <w:rFonts w:ascii="Calibri" w:cs="Calibri" w:eastAsia="Calibri" w:hAnsi="Calibri"/>
          <w:b w:val="false"/>
          <w:bCs w:val="false"/>
          <w:i w:val="false"/>
          <w:iCs w:val="false"/>
          <w:sz w:val="22"/>
          <w:szCs w:val="22"/>
        </w:rPr>
        <w:t xml:space="preserve">Een deelnemer dient een waardeoverdracht aan bij baanwisseling. Het proces bestaat uit drie stappen over twee bounded contexts: (1) het oude fonds bevestigt en berekent de over te dragen waarde, (2) het nieuwe fonds ontvangt en verwerkt die waarde in de eigen aanspraak, (3) het oude fonds sluit het dossier van de deelnemer definitief af. Stel dat stap 3 mislukt nadat stap 1 en 2 al zijn voltooid.</w:t>
      </w:r>
    </w:p>
    <w:p>
      <w:pPr>
        <w:spacing w:after="140" w:line="300"/>
      </w:pPr>
      <w:r>
        <w:rPr>
          <w:rFonts w:ascii="Calibri" w:cs="Calibri" w:eastAsia="Calibri" w:hAnsi="Calibri"/>
          <w:b w:val="false"/>
          <w:bCs w:val="false"/>
          <w:i w:val="false"/>
          <w:iCs w:val="false"/>
          <w:sz w:val="22"/>
          <w:szCs w:val="22"/>
        </w:rPr>
        <w:t xml:space="preserve">Ontwerp de compenserende stap(pen): wat moet er gebeuren om dit eerlijk recht te zetten, wie ziet dat er een compensatie heeft plaatsgevonden, en is deze compensatie volledig kosteloos of brengt ze een prijs met zich mee (bijvoorbeeld: de deelnemer ziet tijdelijk twee openstaande dossiers)?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Bespreking (10 min, klassikaal)</w:t>
      </w:r>
    </w:p>
    <w:p>
      <w:pPr>
        <w:spacing w:after="140" w:line="300"/>
      </w:pPr>
      <w:r>
        <w:rPr>
          <w:rFonts w:ascii="Calibri" w:cs="Calibri" w:eastAsia="Calibri" w:hAnsi="Calibri"/>
          <w:b w:val="false"/>
          <w:bCs w:val="false"/>
          <w:i w:val="false"/>
          <w:iCs w:val="false"/>
          <w:sz w:val="22"/>
          <w:szCs w:val="22"/>
        </w:rPr>
        <w:t xml:space="preserve">Vergelijk de compensatie-ontwerpen van twee of drie groepjes. Is de compensatie in elk ontwerp zichtbaar voor iemand buiten het systeem zelf (de deelnemer, een toezichthouder), of blijft ze een stille, technische correctie? Bespreek waarom dat verschil ertoe doet.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De garantiekaart op een eigen casus (20 min, dezelfde groepjes)</w:t>
      </w:r>
    </w:p>
    <w:p>
      <w:pPr>
        <w:spacing w:after="140" w:line="300"/>
      </w:pPr>
      <w:r>
        <w:rPr>
          <w:rFonts w:ascii="Calibri" w:cs="Calibri" w:eastAsia="Calibri" w:hAnsi="Calibri"/>
          <w:b w:val="false"/>
          <w:bCs w:val="false"/>
          <w:i w:val="false"/>
          <w:iCs w:val="false"/>
          <w:sz w:val="22"/>
          <w:szCs w:val="22"/>
        </w:rPr>
        <w:t xml:space="preserve">Een webwinkel verwerkt een bestelling in drie stappen over drie bounded contexts: voorraadreservering, betaalverwerking, verzendopdracht. Vul de garantiekaart (reader §25.6) in voor de relatie tussen voorraadreservering en betaalverwerking: welke garantie geldt (veld 1), hoe lang mag de tussentijd duren (veld 2), wat gebeurt er als betaling mislukt nadat voorraad al is gereserveerd (veld 3), en is die tussentijd voor de klant onzichtbaar of merkbaar en schadelijk (veld 4)?</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6 — De garantiekaart op het invaarproces (20 min, klassikaal of dezelfde groepjes)</w:t>
      </w:r>
    </w:p>
    <w:p>
      <w:pPr>
        <w:spacing w:after="140" w:line="300"/>
      </w:pPr>
      <w:r>
        <w:rPr>
          <w:rFonts w:ascii="Calibri" w:cs="Calibri" w:eastAsia="Calibri" w:hAnsi="Calibri"/>
          <w:b w:val="false"/>
          <w:bCs w:val="false"/>
          <w:i w:val="false"/>
          <w:iCs w:val="false"/>
          <w:sz w:val="22"/>
          <w:szCs w:val="22"/>
        </w:rPr>
        <w:t xml:space="preserve">Vul de garantiekaart in voor de relatie tussen KERN en de invaaradministratie uit dossierstuk 25-A en reader §25.7. Werk zelfstandig een uitwerking uit vóórdat je die vergelijkt met wat het team in de reader concludeerde, met name bij veld 4.</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7 — Individuele reflectie (10 min)</w:t>
      </w:r>
    </w:p>
    <w:p>
      <w:pPr>
        <w:spacing w:after="140" w:line="300"/>
      </w:pPr>
      <w:r>
        <w:rPr>
          <w:rFonts w:ascii="Calibri" w:cs="Calibri" w:eastAsia="Calibri" w:hAnsi="Calibri"/>
          <w:b w:val="false"/>
          <w:bCs w:val="false"/>
          <w:i w:val="false"/>
          <w:iCs w:val="false"/>
          <w:sz w:val="22"/>
          <w:szCs w:val="22"/>
        </w:rPr>
        <w:t xml:space="preserve">Heb je in je eigen werk wel eens een proces gezien dat stilzwijgend aannam dat twee systemen "wel ongeveer gelijk zullen lopen," zonder dat iemand ooit expliciet heeft vastgesteld hoe lang de tussentijd mag duren? Wat zou de garantiekaart daar hebben blootgelegd?</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w:t>
      </w:r>
    </w:p>
    <w:p>
      <w:pPr>
        <w:pStyle w:val="Heading2"/>
        <w:spacing w:after="120" w:before="200"/>
      </w:pPr>
      <w:r>
        <w:rPr>
          <w:rFonts w:ascii="Georgia" w:cs="Georgia" w:eastAsia="Georgia" w:hAnsi="Georgia"/>
          <w:b/>
          <w:bCs/>
          <w:color w:val="2C5AA0"/>
          <w:sz w:val="28"/>
          <w:szCs w:val="28"/>
        </w:rPr>
        <w:t xml:space="preserve">Uitwerking opdracht 1</w:t>
      </w:r>
    </w:p>
    <w:p>
      <w:pPr>
        <w:spacing w:after="140" w:line="300"/>
      </w:pPr>
      <w:r>
        <w:rPr>
          <w:rFonts w:ascii="Calibri" w:cs="Calibri" w:eastAsia="Calibri" w:hAnsi="Calibri"/>
          <w:b/>
          <w:bCs/>
          <w:i w:val="false"/>
          <w:iCs w:val="false"/>
          <w:sz w:val="22"/>
          <w:szCs w:val="22"/>
        </w:rPr>
        <w:t xml:space="preserve">Relatie A</w:t>
      </w:r>
      <w:r>
        <w:rPr>
          <w:rFonts w:ascii="Calibri" w:cs="Calibri" w:eastAsia="Calibri" w:hAnsi="Calibri"/>
          <w:b w:val="false"/>
          <w:bCs w:val="false"/>
          <w:i w:val="false"/>
          <w:iCs w:val="false"/>
          <w:sz w:val="22"/>
          <w:szCs w:val="22"/>
        </w:rPr>
        <w:t xml:space="preserve"> — strikte consistentie noodzakelijk: bedrag en status horen bij dezelfde aggregate-beslissing binnen KERN en mogen nooit uit elkaar lopen (vergelijk niveau 1, deel 6: de aggregate als consistentiegrens).</w:t>
      </w:r>
    </w:p>
    <w:p>
      <w:pPr>
        <w:spacing w:after="140" w:line="300"/>
      </w:pPr>
      <w:r>
        <w:rPr>
          <w:rFonts w:ascii="Calibri" w:cs="Calibri" w:eastAsia="Calibri" w:hAnsi="Calibri"/>
          <w:b/>
          <w:bCs/>
          <w:i w:val="false"/>
          <w:iCs w:val="false"/>
          <w:sz w:val="22"/>
          <w:szCs w:val="22"/>
        </w:rPr>
        <w:t xml:space="preserve">Relatie B</w:t>
      </w:r>
      <w:r>
        <w:rPr>
          <w:rFonts w:ascii="Calibri" w:cs="Calibri" w:eastAsia="Calibri" w:hAnsi="Calibri"/>
          <w:b w:val="false"/>
          <w:bCs w:val="false"/>
          <w:i w:val="false"/>
          <w:iCs w:val="false"/>
          <w:sz w:val="22"/>
          <w:szCs w:val="22"/>
        </w:rPr>
        <w:t xml:space="preserve"> — eventual consistency aanvaardbaar: een korte vertraging in zichtbaarheid van een adreswijziging is voor de deelnemer onschuldig, mits binnen een redelijke, bekende tijd hersteld.</w:t>
      </w:r>
    </w:p>
    <w:p>
      <w:pPr>
        <w:spacing w:after="140" w:line="300"/>
      </w:pPr>
      <w:r>
        <w:rPr>
          <w:rFonts w:ascii="Calibri" w:cs="Calibri" w:eastAsia="Calibri" w:hAnsi="Calibri"/>
          <w:b/>
          <w:bCs/>
          <w:i w:val="false"/>
          <w:iCs w:val="false"/>
          <w:sz w:val="22"/>
          <w:szCs w:val="22"/>
        </w:rPr>
        <w:t xml:space="preserve">Relatie C</w:t>
      </w:r>
      <w:r>
        <w:rPr>
          <w:rFonts w:ascii="Calibri" w:cs="Calibri" w:eastAsia="Calibri" w:hAnsi="Calibri"/>
          <w:b w:val="false"/>
          <w:bCs w:val="false"/>
          <w:i w:val="false"/>
          <w:iCs w:val="false"/>
          <w:sz w:val="22"/>
          <w:szCs w:val="22"/>
        </w:rPr>
        <w:t xml:space="preserve"> — eventual consistency, maar met een streng begrensde tussentijd én expliciete compensatieregels: dit raakt direct de aantoonbaarheid richting DNB, dus "eventueel" moet hier "aantoonbaar snel en begrensd" betekenen, niet "op een dag wel".</w:t>
      </w:r>
    </w:p>
    <w:p>
      <w:pPr>
        <w:pStyle w:val="Heading2"/>
        <w:spacing w:after="120" w:before="200"/>
      </w:pPr>
      <w:r>
        <w:rPr>
          <w:rFonts w:ascii="Georgia" w:cs="Georgia" w:eastAsia="Georgia" w:hAnsi="Georgia"/>
          <w:b/>
          <w:bCs/>
          <w:color w:val="2C5AA0"/>
          <w:sz w:val="28"/>
          <w:szCs w:val="28"/>
        </w:rPr>
        <w:t xml:space="preserve">Uitwerking opdracht 2</w:t>
      </w:r>
    </w:p>
    <w:p>
      <w:pPr>
        <w:spacing w:after="140" w:line="300"/>
      </w:pPr>
      <w:r>
        <w:rPr>
          <w:rFonts w:ascii="Calibri" w:cs="Calibri" w:eastAsia="Calibri" w:hAnsi="Calibri"/>
          <w:b w:val="false"/>
          <w:bCs w:val="false"/>
          <w:i w:val="false"/>
          <w:iCs w:val="false"/>
          <w:sz w:val="22"/>
          <w:szCs w:val="22"/>
        </w:rPr>
        <w:t xml:space="preserve">Relatie C levert bij een DNB-toets het grootste risico op, ook al is de technische verwerkingstijd mogelijk korter dan bij relatie B: het gaat niet om de duur op zich, maar om wat er in die tussentijd kan misgaan zonder dat iemand het merkt (een deelnemer die tussentijds een actie onderneemt op basis van verouderde informatie) en om de wettelijke aantoonbaarheidseis die specifiek aan het invaren hangt.</w:t>
      </w:r>
    </w:p>
    <w:p>
      <w:pPr>
        <w:pStyle w:val="Heading2"/>
        <w:spacing w:after="120" w:before="200"/>
      </w:pPr>
      <w:r>
        <w:rPr>
          <w:rFonts w:ascii="Georgia" w:cs="Georgia" w:eastAsia="Georgia" w:hAnsi="Georgia"/>
          <w:b/>
          <w:bCs/>
          <w:color w:val="2C5AA0"/>
          <w:sz w:val="28"/>
          <w:szCs w:val="28"/>
        </w:rPr>
        <w:t xml:space="preserve">Uitwerking opdracht 3 (voorbeeld)</w:t>
      </w:r>
    </w:p>
    <w:p>
      <w:pPr>
        <w:spacing w:after="140" w:line="300"/>
      </w:pPr>
      <w:r>
        <w:rPr>
          <w:rFonts w:ascii="Calibri" w:cs="Calibri" w:eastAsia="Calibri" w:hAnsi="Calibri"/>
          <w:b w:val="false"/>
          <w:bCs w:val="false"/>
          <w:i w:val="false"/>
          <w:iCs w:val="false"/>
          <w:sz w:val="22"/>
          <w:szCs w:val="22"/>
        </w:rPr>
        <w:t xml:space="preserve">Compensatie: het oude fonds heropent het dossier niet volledig, maar registreert een expliciete correctieboeking "afsluiting mislukt — dossier blijft actief tot herstel", zichtbaar voor de deelnemer en voor beide fondsen. De deelnemer ziet, tot de correctie is voltooid, tijdelijk een dossier bij het oude fonds dat als "in afwikkeling" is gemarkeerd naast de al verwerkte waarde bij het nieuwe fonds — geen dubbele waarde, wel een zichtbare, tijdelijke inconsistentie in dossierstatus. De prijs: de deelnemer moet, als hij in die tussentijd navraag doet, een uitleg krijgen die het "in afwikkeling"-label begrijpelijk maakt, niet alleen een foutmelding.</w:t>
      </w:r>
    </w:p>
    <w:p>
      <w:pPr>
        <w:pStyle w:val="Heading2"/>
        <w:spacing w:after="120" w:before="200"/>
      </w:pPr>
      <w:r>
        <w:rPr>
          <w:rFonts w:ascii="Georgia" w:cs="Georgia" w:eastAsia="Georgia" w:hAnsi="Georgia"/>
          <w:b/>
          <w:bCs/>
          <w:color w:val="2C5AA0"/>
          <w:sz w:val="28"/>
          <w:szCs w:val="28"/>
        </w:rPr>
        <w:t xml:space="preserve">Uitwerking opdracht 4</w:t>
      </w:r>
    </w:p>
    <w:p>
      <w:pPr>
        <w:spacing w:after="140" w:line="300"/>
      </w:pPr>
      <w:r>
        <w:rPr>
          <w:rFonts w:ascii="Calibri" w:cs="Calibri" w:eastAsia="Calibri" w:hAnsi="Calibri"/>
          <w:b w:val="false"/>
          <w:bCs w:val="false"/>
          <w:i w:val="false"/>
          <w:iCs w:val="false"/>
          <w:sz w:val="22"/>
          <w:szCs w:val="22"/>
        </w:rPr>
        <w:t xml:space="preserve">Geen vast antwoord — beoordeel op de vraag of de compensatie een zichtbare, benoemde gebeurtenis is (zoals in het voorbeeld) of een stille technische correctie die de deelnemer nooit te zien krijgt terwijl hij er wel gevolgen van ondervindt. Het tweede type compensatie is het risicovollere: het lost het technische probleem op, maar verbergt precies het soort informatie dat een deelnemer (of een toezichthouder) zou willen hebben.</w:t>
      </w:r>
    </w:p>
    <w:p>
      <w:pPr>
        <w:pStyle w:val="Heading2"/>
        <w:spacing w:after="120" w:before="200"/>
      </w:pPr>
      <w:r>
        <w:rPr>
          <w:rFonts w:ascii="Georgia" w:cs="Georgia" w:eastAsia="Georgia" w:hAnsi="Georgia"/>
          <w:b/>
          <w:bCs/>
          <w:color w:val="2C5AA0"/>
          <w:sz w:val="28"/>
          <w:szCs w:val="28"/>
        </w:rPr>
        <w:t xml:space="preserve">Uitwerking opdracht 5 (voorbeeld)</w:t>
      </w:r>
    </w:p>
    <w:p>
      <w:pPr>
        <w:spacing w:after="140" w:line="300"/>
      </w:pPr>
      <w:r>
        <w:rPr>
          <w:rFonts w:ascii="Calibri" w:cs="Calibri" w:eastAsia="Calibri" w:hAnsi="Calibri"/>
          <w:b w:val="false"/>
          <w:bCs w:val="false"/>
          <w:i w:val="false"/>
          <w:iCs w:val="false"/>
          <w:sz w:val="22"/>
          <w:szCs w:val="22"/>
        </w:rPr>
        <w:t xml:space="preserve">Veld 1: eventual consistency tussen voorraadreservering en betaalverwerking (geen technische transactie over beide contexts). Veld 2: de tussentijd mag maximaal enkele minuten duren — lang genoeg voor betaalverwerking, kort genoeg dat de gereserveerde voorraad niet onnodig lang wordt vastgehouden. Veld 3: als betaling mislukt, wordt de voorraadreservering vrijgegeven via een expliciete "reservering vervallen"-gebeurtenis; geen prijs voor de klant zolang dit binnen de afgesproken tijd gebeurt. Veld 4: voor de klant onzichtbaar en onschuldig, zolang de vrijgave snel genoeg gebeurt om geen misleidende "op voorraad"-melding elders te veroorzaken.</w:t>
      </w:r>
    </w:p>
    <w:p>
      <w:pPr>
        <w:pStyle w:val="Heading2"/>
        <w:spacing w:after="120" w:before="200"/>
      </w:pPr>
      <w:r>
        <w:rPr>
          <w:rFonts w:ascii="Georgia" w:cs="Georgia" w:eastAsia="Georgia" w:hAnsi="Georgia"/>
          <w:b/>
          <w:bCs/>
          <w:color w:val="2C5AA0"/>
          <w:sz w:val="28"/>
          <w:szCs w:val="28"/>
        </w:rPr>
        <w:t xml:space="preserve">Uitwerking opdracht 6</w:t>
      </w:r>
    </w:p>
    <w:p>
      <w:pPr>
        <w:spacing w:after="140" w:line="300"/>
      </w:pPr>
      <w:r>
        <w:rPr>
          <w:rFonts w:ascii="Calibri" w:cs="Calibri" w:eastAsia="Calibri" w:hAnsi="Calibri"/>
          <w:b w:val="false"/>
          <w:bCs w:val="false"/>
          <w:i w:val="false"/>
          <w:iCs w:val="false"/>
          <w:sz w:val="22"/>
          <w:szCs w:val="22"/>
        </w:rPr>
        <w:t xml:space="preserve">Vergelijk met reader §25.7: veld 1 eventual consistency tussen de stappen, strikt binnen elke stap; veld 2 maximaal enkele uren, nooit een nacht; veld 3 een expliciete correctieboeking, zichtbaar in de dossierhistorie, met een eigen datum en reden; veld 4 merkbaar en potentieel schadelijk zodra een deelnemer in de tussentijd een actie onderneemt die uitgaat van de oude situatie — wat het team ertoe brengt een tijdelijke blokkade in te bouwen voor dat specifieke actietype. Een veelvoorkomend verschil in eigen uitwerkingen: veld 4 overslaan of te snel beantwoorden met "dat merkt de deelnemer toch niet" zonder het concrete actietype (waardeoverdracht aanvragen tijdens de tussentijd) te benoemen dat het wél merkbaar maakt.</w:t>
      </w:r>
    </w:p>
    <w:p>
      <w:pPr>
        <w:pStyle w:val="Heading2"/>
        <w:spacing w:after="120" w:before="200"/>
      </w:pPr>
      <w:r>
        <w:rPr>
          <w:rFonts w:ascii="Georgia" w:cs="Georgia" w:eastAsia="Georgia" w:hAnsi="Georgia"/>
          <w:b/>
          <w:bCs/>
          <w:color w:val="2C5AA0"/>
          <w:sz w:val="28"/>
          <w:szCs w:val="28"/>
        </w:rPr>
        <w:t xml:space="preserve">Uitwerking opdracht 7</w:t>
      </w:r>
    </w:p>
    <w:p>
      <w:pPr>
        <w:spacing w:after="140" w:line="300"/>
      </w:pPr>
      <w:r>
        <w:rPr>
          <w:rFonts w:ascii="Calibri" w:cs="Calibri" w:eastAsia="Calibri" w:hAnsi="Calibri"/>
          <w:b w:val="false"/>
          <w:bCs w:val="false"/>
          <w:i w:val="false"/>
          <w:iCs w:val="false"/>
          <w:sz w:val="22"/>
          <w:szCs w:val="22"/>
        </w:rPr>
        <w:t xml:space="preserve">Geen vaste uitwerking — persoonlijke reflectie. Bespreek in de klassikale afsluiting, als de groep dat wil, een voorbeeld zonder namen van organisaties of personen te noemen.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3 · Deel 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2026-08-16T19:19:07.088Z</dcterms:created>
  <dcterms:modified xsi:type="dcterms:W3CDTF">2026-08-16T19:19:07.088Z</dcterms:modified>
</cp:coreProperties>
</file>

<file path=docProps/custom.xml><?xml version="1.0" encoding="utf-8"?>
<Properties xmlns="http://schemas.openxmlformats.org/officeDocument/2006/custom-properties" xmlns:vt="http://schemas.openxmlformats.org/officeDocument/2006/docPropsVTypes"/>
</file>