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26 — Governance van een meerdere-teams-domeinmodel: taal-drift bewaken over de tijd</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3 (expert) · deel 26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26 opent het "naar buiten"-blok van niveau 3: na drie delen waarin het team naar binnen keek (kerndomein heroverwegen, KERN saneren, consistentie tussen eigen contexts), keert de aandacht nu naar een tweede organisatie die het landschap binnenkomt. Dit deel is ook de narratieve scharnier van het hele niveau: de overname van Pensioenfonds Kustveer, tot nu toe bewust net onder de drempel gehouden (zie docentenhandleiding deel 25, §8), wordt hier bevestigd én onmiddellijk gekoppeld aan het vakinhoudelijke onderwerp. De eerste botsing komt niet als een groot dramatisch moment, maar als een kleine taalkundige ongerijmdheid in een document — precies zo geloofwaardig als taal-drift in de praktijk meestal binnenkomt.</w:t>
      </w:r>
    </w:p>
    <w:p>
      <w:pPr>
        <w:spacing w:after="140" w:line="300"/>
      </w:pPr>
      <w:r>
        <w:rPr>
          <w:rFonts w:ascii="Calibri" w:cs="Calibri" w:eastAsia="Calibri" w:hAnsi="Calibri"/>
          <w:b w:val="false"/>
          <w:bCs w:val="false"/>
          <w:i w:val="false"/>
          <w:iCs w:val="false"/>
          <w:sz w:val="22"/>
          <w:szCs w:val="22"/>
        </w:rPr>
        <w:t xml:space="preserve">Het zwaartepunt is strategisch: taal-drift-governance is, net als context mapping in niveau 2, een instrument voor het bewaken van modelgrenzen over tijd, niet een technisch vraagstuk.</w:t>
      </w:r>
    </w:p>
    <w:p>
      <w:pPr>
        <w:pStyle w:val="ListParagraph"/>
        <w:numPr>
          <w:ilvl w:val="0"/>
          <w:numId w:val="1"/>
        </w:numPr>
        <w:spacing w:after="80"/>
      </w:pPr>
      <w:r>
        <w:rPr>
          <w:rFonts w:ascii="Calibri" w:cs="Calibri" w:eastAsia="Calibri" w:hAnsi="Calibri"/>
          <w:sz w:val="22"/>
          <w:szCs w:val="22"/>
        </w:rPr>
        <w:t xml:space="preserve">**Module-onderdeel:** bouwt voort op ubiquitous language (niveau 1, deel 2) en op context mapping (niveau 2, deel 13-14) — dit deel behandelt wat er gebeurt met taal ná de eerste modellering, over tijd en over organisatiegrenzen heen. Geen onderdeel van het officiële iSAQB-curriculum als losstaand onderwerp, wel een directe toepassing van ubiquitous language-onderhoud op landschapsschaal.</w:t>
      </w:r>
    </w:p>
    <w:p>
      <w:pPr>
        <w:pStyle w:val="ListParagraph"/>
        <w:numPr>
          <w:ilvl w:val="0"/>
          <w:numId w:val="1"/>
        </w:numPr>
        <w:spacing w:after="80"/>
      </w:pPr>
      <w:r>
        <w:rPr>
          <w:rFonts w:ascii="Calibri" w:cs="Calibri" w:eastAsia="Calibri" w:hAnsi="Calibri"/>
          <w:sz w:val="22"/>
          <w:szCs w:val="22"/>
        </w:rPr>
        <w:t xml:space="preserve">**Werkvorm:** de taaldriftkaart (nieuw instrument van dit deel).</w:t>
      </w:r>
    </w:p>
    <w:p>
      <w:pPr>
        <w:pStyle w:val="ListParagraph"/>
        <w:numPr>
          <w:ilvl w:val="0"/>
          <w:numId w:val="1"/>
        </w:numPr>
        <w:spacing w:after="80"/>
      </w:pPr>
      <w:r>
        <w:rPr>
          <w:rFonts w:ascii="Calibri" w:cs="Calibri" w:eastAsia="Calibri" w:hAnsi="Calibri"/>
          <w:sz w:val="22"/>
          <w:szCs w:val="22"/>
        </w:rPr>
        <w:t xml:space="preserve">**Duur:** één dagdeel (circa 3 uur inclusief korte pauze).</w:t>
      </w:r>
    </w:p>
    <w:p>
      <w:pPr>
        <w:pStyle w:val="ListParagraph"/>
        <w:numPr>
          <w:ilvl w:val="0"/>
          <w:numId w:val="1"/>
        </w:numPr>
        <w:spacing w:after="80"/>
      </w:pPr>
      <w:r>
        <w:rPr>
          <w:rFonts w:ascii="Calibri" w:cs="Calibri" w:eastAsia="Calibri" w:hAnsi="Calibri"/>
          <w:sz w:val="22"/>
          <w:szCs w:val="22"/>
        </w:rPr>
        <w:t xml:space="preserve">**Voorbereiding deelnemers:** deel 25 gelezen (met name Iris' slotvraag). Kennis van ubiquitous language (niveau 1, deel 2) en context mapping (niveau 2, deel 13-14) is nuttig; wordt kort herhaald in §26.3.</w:t>
      </w:r>
    </w:p>
    <w:p>
      <w:pPr>
        <w:pStyle w:val="Heading2"/>
        <w:spacing w:after="120" w:before="200"/>
      </w:pPr>
      <w:r>
        <w:rPr>
          <w:rFonts w:ascii="Georgia" w:cs="Georgia" w:eastAsia="Georgia" w:hAnsi="Georgia"/>
          <w:b/>
          <w:bCs/>
          <w:color w:val="2C5AA0"/>
          <w:sz w:val="28"/>
          <w:szCs w:val="28"/>
        </w:rPr>
        <w:t xml:space="preserve">2. Tijdschema (dagdeel van circa 3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het bericht en het eerste document (reader §26.2)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waarom taal-drift onvermijdelijk is (reader §26.3)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de drie driftsignalen (reader §26.4)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en 2 — driftsignalen herkennen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onschuldige nuance versus grensbreuk (reader §26.5)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en 4 — nuance of grensbreuk, met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governance en de taaldriftkaart (reader §26.6-26.7)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taaldriftkaart op eigen casus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taaldriftkaart op "deelnemer in opbouw", vergelijken met reader §26.8</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(reflectie) en vooruitblik (reader §26.9)</w:t>
            </w:r>
          </w:p>
        </w:tc>
      </w:tr>
    </w:tbl>
    <w:p>
      <w:pPr>
        <w:pStyle w:val="Heading2"/>
        <w:spacing w:after="120" w:before="200"/>
      </w:pPr>
      <w:r>
        <w:rPr>
          <w:rFonts w:ascii="Georgia" w:cs="Georgia" w:eastAsia="Georgia" w:hAnsi="Georgia"/>
          <w:b/>
          <w:bCs/>
          <w:color w:val="2C5AA0"/>
          <w:sz w:val="28"/>
          <w:szCs w:val="28"/>
        </w:rPr>
        <w:t xml:space="preserve">3. De opening: laat de onthulling landen vóórdat je naar de theorie gaat</w:t>
      </w:r>
    </w:p>
    <w:p>
      <w:pPr>
        <w:spacing w:after="140" w:line="300"/>
      </w:pPr>
      <w:r>
        <w:rPr>
          <w:rFonts w:ascii="Calibri" w:cs="Calibri" w:eastAsia="Calibri" w:hAnsi="Calibri"/>
          <w:b w:val="false"/>
          <w:bCs w:val="false"/>
          <w:i w:val="false"/>
          <w:iCs w:val="false"/>
          <w:sz w:val="22"/>
          <w:szCs w:val="22"/>
        </w:rPr>
        <w:t xml:space="preserve">Dit is het deel waarin de overname officieel wordt — geef die scène de ruimte die ze verdient. Lees reader §26.2 hardop voor, of laat deelnemers het zelf lezen, en pauzeer bewust na Vera's vraag ("wanneer is bij ons de ingangsdatum van het dienstverband hetzelfde moment als de eerste verwerkte premie?") vóórdat je verdergaat. Vraag de groep: "wat is hier precies het probleem — is dit een taalfout, of iets anders?" Laat de groep zelf naar het woord "drift" toewerken vóór je het introduceert; de meeste groepen komen dicht in de buurt met formuleringen als "ze bedoelen misschien niet hetzelfde" of "dat woord is stiekem gaan schuiven."</w:t>
      </w:r>
    </w:p>
    <w:p>
      <w:pPr>
        <w:spacing w:after="140" w:line="300"/>
      </w:pPr>
      <w:r>
        <w:rPr>
          <w:rFonts w:ascii="Calibri" w:cs="Calibri" w:eastAsia="Calibri" w:hAnsi="Calibri"/>
          <w:b w:val="false"/>
          <w:bCs w:val="false"/>
          <w:i w:val="false"/>
          <w:iCs w:val="false"/>
          <w:sz w:val="22"/>
          <w:szCs w:val="22"/>
        </w:rPr>
        <w:t xml:space="preserve">Benoem voor deelnemers die niveau 2 hebben gevolgd expliciet de link met de context map: taal-drift is wat er, over tijd, met de taal gebeurt binnen en tussen de grenzen die die context map ooit vastlegde. Voor deelnemers die niveau 2 niet hebben gevolgd (dit deel is deels zelfstandig leesbaar), volstaat de korte herhaling in reader §26.3.</w:t>
      </w:r>
    </w:p>
    <w:p>
      <w:pPr>
        <w:pStyle w:val="Heading2"/>
        <w:spacing w:after="120" w:before="200"/>
      </w:pPr>
      <w:r>
        <w:rPr>
          <w:rFonts w:ascii="Georgia" w:cs="Georgia" w:eastAsia="Georgia" w:hAnsi="Georgia"/>
          <w:b/>
          <w:bCs/>
          <w:color w:val="2C5AA0"/>
          <w:sz w:val="28"/>
          <w:szCs w:val="28"/>
        </w:rPr>
        <w:t xml:space="preserve">4. Veelgemaakte fouten bij de driftsignalen (opdracht 1 en 2)</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classificeren elk verschil meteen als "stille herdefinitie"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Neiging om het ernstigste signaal te kiezen zonder de andere twee eerst te overwegen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"is hier ooit een impliciet besluit genomen, of is de betekenis gewoon geleidelijk verschoven zonder dat iemand er iets over besliste?"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zien "waardeoverdracht" ten onrechte als hetzelfde soort probleem als "deelnemer in opbouw"</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tussen taalverwarring en een bewust, extern ontstaan verschil dat toevallig nu zichtbaar wordt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de uitwerking van opdracht 1: niet elk verschil dat zichtbaar wordt bij een fusie, is drift in de zin van dit deel — sommige verschillen waren altijd al bewuste, eigen keuzes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behandelen elk gevonden verschil als iets dat meteen "opgelost" moet worden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Impliciete aanname dat harmoniseren altijd de juiste uitkomst 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reader §26.7, stap 4: de taaldriftkaart dwingt een besluit af, niet per se harmonisatie</w:t>
            </w:r>
          </w:p>
        </w:tc>
      </w:tr>
    </w:tbl>
    <w:p>
      <w:pPr>
        <w:pStyle w:val="Heading2"/>
        <w:spacing w:after="120" w:before="200"/>
      </w:pPr>
      <w:r>
        <w:rPr>
          <w:rFonts w:ascii="Georgia" w:cs="Georgia" w:eastAsia="Georgia" w:hAnsi="Georgia"/>
          <w:b/>
          <w:bCs/>
          <w:color w:val="2C5AA0"/>
          <w:sz w:val="28"/>
          <w:szCs w:val="28"/>
        </w:rPr>
        <w:t xml:space="preserve">5. Begeleiding bij nuance versus grensbreuk (opdracht 3 en 4)</w:t>
      </w:r>
    </w:p>
    <w:p>
      <w:pPr>
        <w:spacing w:after="140" w:line="300"/>
      </w:pPr>
      <w:r>
        <w:rPr>
          <w:rFonts w:ascii="Calibri" w:cs="Calibri" w:eastAsia="Calibri" w:hAnsi="Calibri"/>
          <w:b w:val="false"/>
          <w:bCs w:val="false"/>
          <w:i w:val="false"/>
          <w:iCs w:val="false"/>
          <w:sz w:val="22"/>
          <w:szCs w:val="22"/>
        </w:rPr>
        <w:t xml:space="preserve">De valkuil hier is een te snelle "het is maar een detail"-conclusie bij begrippen die een onderliggend recht raken. Vraag door: "als deze twee definities allebei blijven bestaan zonder dat iemand het ooit besluit, wie loopt dan risico — en merkt die persoon dat zelf op tijd?" Bij opdracht 4, over Youssefs uitleg: bewaak het onderscheid tussen "beter te verdedigen" en "geen grensbreuk meer" — een goede reden voor een verschil maakt het verschil legitiemer, niet onzichtbaar.</w:t>
      </w:r>
    </w:p>
    <w:p>
      <w:pPr>
        <w:pStyle w:val="Heading2"/>
        <w:spacing w:after="120" w:before="200"/>
      </w:pPr>
      <w:r>
        <w:rPr>
          <w:rFonts w:ascii="Georgia" w:cs="Georgia" w:eastAsia="Georgia" w:hAnsi="Georgia"/>
          <w:b/>
          <w:bCs/>
          <w:color w:val="2C5AA0"/>
          <w:sz w:val="28"/>
          <w:szCs w:val="28"/>
        </w:rPr>
        <w:t xml:space="preserve">6. Begeleiding bij de taaldriftkaart (opdracht 5 en 6)</w:t>
      </w:r>
    </w:p>
    <w:p>
      <w:pPr>
        <w:spacing w:after="140" w:line="300"/>
      </w:pPr>
      <w:r>
        <w:rPr>
          <w:rFonts w:ascii="Calibri" w:cs="Calibri" w:eastAsia="Calibri" w:hAnsi="Calibri"/>
          <w:b w:val="false"/>
          <w:bCs w:val="false"/>
          <w:i w:val="false"/>
          <w:iCs w:val="false"/>
          <w:sz w:val="22"/>
          <w:szCs w:val="22"/>
        </w:rPr>
        <w:t xml:space="preserve">Stap 2 (de feitelijke definitie, niet de officiële) is voor veel groepen de moeilijkste stap: deelnemers grijpen sneller naar "wat staat er in het handboek" dan naar "wat doen mensen daadwerkelijk." Vraag door: "als je een collega uit het andere team zou vragen wat dit woord betekent, zonder het handboek erbij te pakken — zou het antwoord hetzelfde zijn?"</w:t>
      </w:r>
    </w:p>
    <w:p>
      <w:pPr>
        <w:spacing w:after="140" w:line="300"/>
      </w:pPr>
      <w:r>
        <w:rPr>
          <w:rFonts w:ascii="Calibri" w:cs="Calibri" w:eastAsia="Calibri" w:hAnsi="Calibri"/>
          <w:b w:val="false"/>
          <w:bCs w:val="false"/>
          <w:i w:val="false"/>
          <w:iCs w:val="false"/>
          <w:sz w:val="22"/>
          <w:szCs w:val="22"/>
        </w:rPr>
        <w:t xml:space="preserve">Bij opdracht 6 is stap 4 waar de kaart zijn waarde bewijst: veel groepen willen hier direct een inhoudelijke keuze maken ("dan gebruiken we toch gewoon de Meridiaan-definitie"). Stuur nadrukkelijk bij: dit deel eindigt bewust zonder besluit — de kaart signaleert en routeert naar de juiste beslisser, ze beslist zelf niet. Wie hier toch een keuze forceert, loopt vooruit op deel 27 en 28, waar de afweging pas met alle drie de botsingspunten en de actuariële gevolgen op tafel wordt gelegd.</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Werkboek deel 26 (met dossierstuk 26-A, het Kustveer-fragment)</w:t>
      </w:r>
    </w:p>
    <w:p>
      <w:pPr>
        <w:pStyle w:val="ListParagraph"/>
        <w:numPr>
          <w:ilvl w:val="0"/>
          <w:numId w:val="1"/>
        </w:numPr>
        <w:spacing w:after="80"/>
      </w:pPr>
      <w:r>
        <w:rPr>
          <w:rFonts w:ascii="Calibri" w:cs="Calibri" w:eastAsia="Calibri" w:hAnsi="Calibri"/>
          <w:sz w:val="22"/>
          <w:szCs w:val="22"/>
        </w:rPr>
        <w:t xml:space="preserve">Slidedeck deel 26</w:t>
      </w:r>
    </w:p>
    <w:p>
      <w:pPr>
        <w:pStyle w:val="ListParagraph"/>
        <w:numPr>
          <w:ilvl w:val="0"/>
          <w:numId w:val="1"/>
        </w:numPr>
        <w:spacing w:after="80"/>
      </w:pPr>
      <w:r>
        <w:rPr>
          <w:rFonts w:ascii="Calibri" w:cs="Calibri" w:eastAsia="Calibri" w:hAnsi="Calibri"/>
          <w:sz w:val="22"/>
          <w:szCs w:val="22"/>
        </w:rPr>
        <w:t xml:space="preserve">Flip-over of digitaal whiteboard voor opdracht 5 en 6</w:t>
      </w:r>
    </w:p>
    <w:p>
      <w:pPr>
        <w:pStyle w:val="Heading2"/>
        <w:spacing w:after="120" w:before="200"/>
      </w:pPr>
      <w:r>
        <w:rPr>
          <w:rFonts w:ascii="Georgia" w:cs="Georgia" w:eastAsia="Georgia" w:hAnsi="Georgia"/>
          <w:b/>
          <w:bCs/>
          <w:color w:val="2C5AA0"/>
          <w:sz w:val="28"/>
          <w:szCs w:val="28"/>
        </w:rPr>
        <w:t xml:space="preserve">8. Aantekeningen over de narratieve wending</w:t>
      </w:r>
    </w:p>
    <w:p>
      <w:pPr>
        <w:spacing w:after="140" w:line="300"/>
      </w:pPr>
      <w:r>
        <w:rPr>
          <w:rFonts w:ascii="Calibri" w:cs="Calibri" w:eastAsia="Calibri" w:hAnsi="Calibri"/>
          <w:b w:val="false"/>
          <w:bCs w:val="false"/>
          <w:i w:val="false"/>
          <w:iCs w:val="false"/>
          <w:sz w:val="22"/>
          <w:szCs w:val="22"/>
        </w:rPr>
        <w:t xml:space="preserve">Dit deel bevestigt wat sinds deel 23 in de lucht hing en sinds deel 25 (Iris' slotvraag) bewust net onder de drempel bleef: de overname van Pensioenfonds Kustveer is nu officieel, en Youssef Aït Idar treedt hier voor het eerst op. Bewaak bij de rolspeling of nabespreking van §26.8 dat Youssef niet als tegenstander wordt neergezet — het casusdossier is expliciet: hij is beschermend over zijn model, niet vijandig tegenover de overname zelf. Zijn zin ("vertel me eerst welk probleem van óns jullie model oplost...") is het anker voor deel 27 en verdient het om terug te komen in de nabespreking als deelnemers geneigd zijn Kustveer te framen als "het probleem" in plaats van als een partij met een eigen, verdedigbare geschiedenis. Dit deel introduceert bewust nog maar één van de drie botsingspunten (deelnemer in opbouw) in volle diepte, met partner en waardeoverdracht als opdracht 1-3-materiaal maar nog niet als hoofdverhaal — dat is voor deel 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2026-08-16T19:19:09.839Z</dcterms:created>
  <dcterms:modified xsi:type="dcterms:W3CDTF">2026-08-16T19:19:09.839Z</dcterms:modified>
</cp:coreProperties>
</file>

<file path=docProps/custom.xml><?xml version="1.0" encoding="utf-8"?>
<Properties xmlns="http://schemas.openxmlformats.org/officeDocument/2006/custom-properties" xmlns:vt="http://schemas.openxmlformats.org/officeDocument/2006/docPropsVTypes"/>
</file>