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2A4A" w:sz="12" w:space="4"/>
        </w:pBdr>
        <w:spacing w:after="160" w:before="240"/>
      </w:pPr>
      <w:r>
        <w:rPr>
          <w:rFonts w:ascii="Georgia" w:cs="Georgia" w:eastAsia="Georgia" w:hAnsi="Georgia"/>
          <w:b/>
          <w:bCs/>
          <w:color w:val="1B2A4A"/>
          <w:sz w:val="36"/>
          <w:szCs w:val="36"/>
        </w:rPr>
        <w:t xml:space="preserve">Deel 26 — Governance van een meerdere-teams-domeinmodel: taal-drift bewaken over de tijd</w:t>
      </w:r>
    </w:p>
    <w:p>
      <w:pPr>
        <w:spacing w:after="140" w:line="300"/>
      </w:pPr>
      <w:r>
        <w:rPr>
          <w:rFonts w:ascii="Calibri" w:cs="Calibri" w:eastAsia="Calibri" w:hAnsi="Calibri"/>
          <w:b w:val="false"/>
          <w:bCs w:val="false"/>
          <w:i w:val="false"/>
          <w:iCs w:val="false"/>
          <w:sz w:val="22"/>
          <w:szCs w:val="22"/>
        </w:rPr>
        <w:t xml:space="preserve">Werkboek · Ductus-cursus Domain-Driven Design · niveau 3 (expert) · deel 26 van 30</w:t>
      </w:r>
    </w:p>
    <w:p>
      <w:pPr>
        <w:spacing w:after="140" w:line="300"/>
      </w:pPr>
      <w:r>
        <w:rPr>
          <w:rFonts w:ascii="Calibri" w:cs="Calibri" w:eastAsia="Calibri" w:hAnsi="Calibri"/>
          <w:b w:val="false"/>
          <w:bCs w:val="false"/>
          <w:i w:val="false"/>
          <w:iCs w:val="false"/>
          <w:sz w:val="22"/>
          <w:szCs w:val="22"/>
        </w:rPr>
        <w:t xml:space="preserve">Eén dagdeel. Opdracht 1 en 2 oefenen het herkennen van de drie driftsignalen; opdracht 3 en 4 oefenen het onderscheid onschuldige nuance/grensbreuk; opdracht 5 en 6 doorlopen de taaldriftkaart, eerst op een eigen casus, dan op het Kustveer-fragment; opdracht 7 is een korte, individuele reflectie. Uitwerkingen staan achterin.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Dossierstuk 26-A — Fragment uit de Kustveer-deelnemersadministratie-richtlijn (vertrouwelijk, ter kennisname gedeeld door Iris)</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*"Een deelnemer in opbouw heeft recht op informatie vanaf de ingangsdatum van het dienstverband. Onder 'partner' verstaan wij: de persoon met wie de deelnemer een gezamenlijke huishouding voert, aantoonbaar via het toetsingsformulier Partnerschap Kustveer, ongeacht de aanwezigheid van een samenlevingscontract. Waardeoverdracht tussen bij Kustveer aangesloten werkgevers wordt berekend volgens de coulanceregeling uit de cao Kustvaart en Veerdiensten 1994, artikel 12."*</w:t>
            </w:r>
          </w:p>
        </w:tc>
      </w:tr>
    </w:tbl>
    <w:p>
      <w:pPr>
        <w:spacing w:after="140" w:line="300"/>
      </w:pPr>
      <w:r>
        <w:rPr>
          <w:rFonts w:ascii="Calibri" w:cs="Calibri" w:eastAsia="Calibri" w:hAnsi="Calibri"/>
          <w:b w:val="false"/>
          <w:bCs w:val="false"/>
          <w:i w:val="false"/>
          <w:iCs w:val="false"/>
          <w:sz w:val="22"/>
          <w:szCs w:val="22"/>
        </w:rPr>
        <w:t xml:space="preserve">Ter vergelijking, uit het Meridiaan-begrippenkader (niveau 1-2, ongewijzigd):</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*"Een deelnemer in opbouw is iemand voor wie ten minste één pensioenpremie feitelijk is verwerkt. Een partner is een persoon met wie de deelnemer gehuwd is, een geregistreerd partnerschap heeft, of een notarieel samenlevingscontract heeft. Waardeoverdracht wordt berekend volgens de standaardmethode voor bedrijfstakpensioenfondsen."*</w:t>
            </w:r>
          </w:p>
        </w:tc>
      </w:tr>
    </w:tbl>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1 — De drie driftsignalen herkennen (15 min, individueel)</w:t>
      </w:r>
    </w:p>
    <w:p>
      <w:pPr>
        <w:spacing w:after="140" w:line="300"/>
      </w:pPr>
      <w:r>
        <w:rPr>
          <w:rFonts w:ascii="Calibri" w:cs="Calibri" w:eastAsia="Calibri" w:hAnsi="Calibri"/>
          <w:b w:val="false"/>
          <w:bCs w:val="false"/>
          <w:i w:val="false"/>
          <w:iCs w:val="false"/>
          <w:sz w:val="22"/>
          <w:szCs w:val="22"/>
        </w:rPr>
        <w:t xml:space="preserve">Lees dossierstuk 26-A. Wijs voor elk van de drie begrippen ("deelnemer in opbouw", "partner", "waardeoverdracht") aan welk van de drie driftsignalen uit reader §26.4 hier het meest van toepassing is: hetzelfde woord/verschuivende betekenis, verschillende woorden/hetzelfde begrip, of stille herdefinitie. Onderbouw kort waarom je niet voor een van de andere twee kiest.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2 — Bespreking (10 min, tweetallen)</w:t>
      </w:r>
    </w:p>
    <w:p>
      <w:pPr>
        <w:spacing w:after="140" w:line="300"/>
      </w:pPr>
      <w:r>
        <w:rPr>
          <w:rFonts w:ascii="Calibri" w:cs="Calibri" w:eastAsia="Calibri" w:hAnsi="Calibri"/>
          <w:b w:val="false"/>
          <w:bCs w:val="false"/>
          <w:i w:val="false"/>
          <w:iCs w:val="false"/>
          <w:sz w:val="22"/>
          <w:szCs w:val="22"/>
        </w:rPr>
        <w:t xml:space="preserve">Vergelijk je antwoorden. Is er een begrip waarbij twee deelnemers het onderling oneens zijn over welk signaal van toepassing is? Bespreek waarom dat zelf al iets laat zien over hoe lastig drift is om vroeg, en eenduidig, te herkennen.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3 — Onschuldige nuance of grensbreuk? (20 min, groepjes van drie à vier)</w:t>
      </w:r>
    </w:p>
    <w:p>
      <w:pPr>
        <w:spacing w:after="140" w:line="300"/>
      </w:pPr>
      <w:r>
        <w:rPr>
          <w:rFonts w:ascii="Calibri" w:cs="Calibri" w:eastAsia="Calibri" w:hAnsi="Calibri"/>
          <w:b w:val="false"/>
          <w:bCs w:val="false"/>
          <w:i w:val="false"/>
          <w:iCs w:val="false"/>
          <w:sz w:val="22"/>
          <w:szCs w:val="22"/>
        </w:rPr>
        <w:t xml:space="preserve">Beoordeel voor elk van de drie begrippen uit dossierstuk 26-A, volgens het criterium in reader §26.5 ("raakt deze drift een bounded-context-grens, met een daadwerkelijk verschil in onderliggende regel"): is dit onschuldige nuance, of een grensbreuk? Onderbouw met de concrete regel die achter het woord schuilgaat, niet alleen met de formulering.</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4 — Bespreking (10 min, klassikaal)</w:t>
      </w:r>
    </w:p>
    <w:p>
      <w:pPr>
        <w:spacing w:after="140" w:line="300"/>
      </w:pPr>
      <w:r>
        <w:rPr>
          <w:rFonts w:ascii="Calibri" w:cs="Calibri" w:eastAsia="Calibri" w:hAnsi="Calibri"/>
          <w:b w:val="false"/>
          <w:bCs w:val="false"/>
          <w:i w:val="false"/>
          <w:iCs w:val="false"/>
          <w:sz w:val="22"/>
          <w:szCs w:val="22"/>
        </w:rPr>
        <w:t xml:space="preserve">Youssef zei tegen Daan: "Dat is geen slordigheid, dat is een keuze, met een reden." Bespreek: verandert die uitleg iets aan je antwoord bij opdracht 3 — is een grensbreuk met een goede reden minder een grensbreuk, of blijft het een grensbreuk die alleen beter te verdedigen is?</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5 — De taaldriftkaart op een eigen casus (20 min, dezelfde groepjes)</w:t>
      </w:r>
    </w:p>
    <w:p>
      <w:pPr>
        <w:spacing w:after="140" w:line="300"/>
      </w:pPr>
      <w:r>
        <w:rPr>
          <w:rFonts w:ascii="Calibri" w:cs="Calibri" w:eastAsia="Calibri" w:hAnsi="Calibri"/>
          <w:b w:val="false"/>
          <w:bCs w:val="false"/>
          <w:i w:val="false"/>
          <w:iCs w:val="false"/>
          <w:sz w:val="22"/>
          <w:szCs w:val="22"/>
        </w:rPr>
        <w:t xml:space="preserve">Kies een begrip uit je eigen werkomgeving dat door meerdere teams, afdelingen of organisaties wordt gebruikt (bijvoorbeeld "klant," "actief," "afgerond," "goedgekeurd"). Doorloop de vier stappen van de taaldriftkaart (reader §26.7): welke feitelijke definities vind je bij de verschillende gebruikers (stap 2), hoe classificeer je het verschil (stap 3), en wie zou, bij een gevonden grensbreuk, de bevinding moeten krijgen voorgelegd (stap 4)?</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6 — De taaldriftkaart op "deelnemer in opbouw" (20 min, klassikaal of dezelfde groepjes)</w:t>
      </w:r>
    </w:p>
    <w:p>
      <w:pPr>
        <w:spacing w:after="140" w:line="300"/>
      </w:pPr>
      <w:r>
        <w:rPr>
          <w:rFonts w:ascii="Calibri" w:cs="Calibri" w:eastAsia="Calibri" w:hAnsi="Calibri"/>
          <w:b w:val="false"/>
          <w:bCs w:val="false"/>
          <w:i w:val="false"/>
          <w:iCs w:val="false"/>
          <w:sz w:val="22"/>
          <w:szCs w:val="22"/>
        </w:rPr>
        <w:t xml:space="preserve">Vul de taaldriftkaart volledig in voor het begrip "deelnemer in opbouw" uit dossierstuk 26-A, inclusief stap 4: wie zou dit besluit moeten nemen (denk aan de rollen uit het casusdossier: Daan, Iris, Youssef, mogelijk het gecombineerde bestuur), en welke opties zou je in dat besluit willen meegeven — zonder al definitief te kiezen? Werk zelfstandig een uitwerking uit vóórdat je die vergelijkt met reader §26.8.</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7 — Individuele reflectie (10 min)</w:t>
      </w:r>
    </w:p>
    <w:p>
      <w:pPr>
        <w:spacing w:after="140" w:line="300"/>
      </w:pPr>
      <w:r>
        <w:rPr>
          <w:rFonts w:ascii="Calibri" w:cs="Calibri" w:eastAsia="Calibri" w:hAnsi="Calibri"/>
          <w:b w:val="false"/>
          <w:bCs w:val="false"/>
          <w:i w:val="false"/>
          <w:iCs w:val="false"/>
          <w:sz w:val="22"/>
          <w:szCs w:val="22"/>
        </w:rPr>
        <w:t xml:space="preserve">Youssefs zin — "vertel me eerst welk probleem van óns jullie model oplost, voordat je vertelt welk probleem van jullie het onze veroorzaakt" — is een houding, niet alleen een taalkundige vraag. Herken je in je eigen werk een moment waarop je (of iemand anders) een ander model te snel als "fout" bestempelde, zonder eerst te vragen welk probleem het oploste voor wie het gebouwd had?</w:t>
      </w:r>
    </w:p>
    <w:p>
      <w:pPr>
        <w:spacing w:after="140" w:line="300"/>
      </w:pPr>
      <w:r>
        <w:rPr>
          <w:rFonts w:ascii="Calibri" w:cs="Calibri" w:eastAsia="Calibri" w:hAnsi="Calibri"/>
          <w:sz w:val="22"/>
          <w:szCs w:val="22"/>
        </w:rPr>
        <w:t xml:space="preserve"/>
      </w:r>
    </w:p>
    <w:p>
      <w:pPr>
        <w:pStyle w:val="Heading1"/>
        <w:pBdr>
          <w:bottom w:val="single" w:color="1B2A4A" w:sz="12" w:space="4"/>
        </w:pBdr>
        <w:spacing w:after="160" w:before="240"/>
      </w:pPr>
      <w:r>
        <w:rPr>
          <w:rFonts w:ascii="Georgia" w:cs="Georgia" w:eastAsia="Georgia" w:hAnsi="Georgia"/>
          <w:b/>
          <w:bCs/>
          <w:color w:val="1B2A4A"/>
          <w:sz w:val="36"/>
          <w:szCs w:val="36"/>
        </w:rPr>
        <w:t xml:space="preserve">Uitwerkingen</w:t>
      </w:r>
    </w:p>
    <w:p>
      <w:pPr>
        <w:pStyle w:val="Heading2"/>
        <w:spacing w:after="120" w:before="200"/>
      </w:pPr>
      <w:r>
        <w:rPr>
          <w:rFonts w:ascii="Georgia" w:cs="Georgia" w:eastAsia="Georgia" w:hAnsi="Georgia"/>
          <w:b/>
          <w:bCs/>
          <w:color w:val="2C5AA0"/>
          <w:sz w:val="28"/>
          <w:szCs w:val="28"/>
        </w:rPr>
        <w:t xml:space="preserve">Uitwerking opdracht 1</w:t>
      </w:r>
    </w:p>
    <w:p>
      <w:pPr>
        <w:spacing w:after="140" w:line="300"/>
      </w:pPr>
      <w:r>
        <w:rPr>
          <w:rFonts w:ascii="Calibri" w:cs="Calibri" w:eastAsia="Calibri" w:hAnsi="Calibri"/>
          <w:b/>
          <w:bCs/>
          <w:i w:val="false"/>
          <w:iCs w:val="false"/>
          <w:sz w:val="22"/>
          <w:szCs w:val="22"/>
        </w:rPr>
        <w:t xml:space="preserve">Deelnemer in opbouw</w:t>
      </w:r>
      <w:r>
        <w:rPr>
          <w:rFonts w:ascii="Calibri" w:cs="Calibri" w:eastAsia="Calibri" w:hAnsi="Calibri"/>
          <w:b w:val="false"/>
          <w:bCs w:val="false"/>
          <w:i w:val="false"/>
          <w:iCs w:val="false"/>
          <w:sz w:val="22"/>
          <w:szCs w:val="22"/>
        </w:rPr>
        <w:t xml:space="preserve"> — hetzelfde woord, verschuivende betekenis: beide partijen gebruiken exact dezelfde term, maar hangen die op aan een ander ankermoment (ingangsdatum dienstverband versus eerste verwerkte premie).</w:t>
      </w:r>
    </w:p>
    <w:p>
      <w:pPr>
        <w:spacing w:after="140" w:line="300"/>
      </w:pPr>
      <w:r>
        <w:rPr>
          <w:rFonts w:ascii="Calibri" w:cs="Calibri" w:eastAsia="Calibri" w:hAnsi="Calibri"/>
          <w:b/>
          <w:bCs/>
          <w:i w:val="false"/>
          <w:iCs w:val="false"/>
          <w:sz w:val="22"/>
          <w:szCs w:val="22"/>
        </w:rPr>
        <w:t xml:space="preserve">Partner</w:t>
      </w:r>
      <w:r>
        <w:rPr>
          <w:rFonts w:ascii="Calibri" w:cs="Calibri" w:eastAsia="Calibri" w:hAnsi="Calibri"/>
          <w:b w:val="false"/>
          <w:bCs w:val="false"/>
          <w:i w:val="false"/>
          <w:iCs w:val="false"/>
          <w:sz w:val="22"/>
          <w:szCs w:val="22"/>
        </w:rPr>
        <w:t xml:space="preserve"> — hetzelfde woord, verschuivende betekenis, met een element van stille herdefinitie: Kustveer heeft het begrip niet vervangen door een ander woord, maar de facto verruimd met een eigen, informeel toetsingsproces dat nooit is afgestemd met Meridiaans definitie.</w:t>
      </w:r>
    </w:p>
    <w:p>
      <w:pPr>
        <w:spacing w:after="140" w:line="300"/>
      </w:pPr>
      <w:r>
        <w:rPr>
          <w:rFonts w:ascii="Calibri" w:cs="Calibri" w:eastAsia="Calibri" w:hAnsi="Calibri"/>
          <w:b/>
          <w:bCs/>
          <w:i w:val="false"/>
          <w:iCs w:val="false"/>
          <w:sz w:val="22"/>
          <w:szCs w:val="22"/>
        </w:rPr>
        <w:t xml:space="preserve">Waardeoverdracht</w:t>
      </w:r>
      <w:r>
        <w:rPr>
          <w:rFonts w:ascii="Calibri" w:cs="Calibri" w:eastAsia="Calibri" w:hAnsi="Calibri"/>
          <w:b w:val="false"/>
          <w:bCs w:val="false"/>
          <w:i w:val="false"/>
          <w:iCs w:val="false"/>
          <w:sz w:val="22"/>
          <w:szCs w:val="22"/>
        </w:rPr>
        <w:t xml:space="preserve"> — geen driftsignaal in de zin van een vaag verschoven betekenis: het woord betekent bij beide partijen hetzelfde proces, maar de onderliggende rekenmethode verschilt expliciet en met een aanwijsbare, bekende reden (de cao-afspraak uit 1994). Dit is eerder een bewust, benoemd verschil dan drift — een nuttig grensgeval om te bespreken bij opdracht 2: niet elk verschil is drift; sommige verschillen zijn vanaf het begin expliciet geweest voor de partij die ze maakte, ook al was Meridiaan er niet van op de hoogte.</w:t>
      </w:r>
    </w:p>
    <w:p>
      <w:pPr>
        <w:pStyle w:val="Heading2"/>
        <w:spacing w:after="120" w:before="200"/>
      </w:pPr>
      <w:r>
        <w:rPr>
          <w:rFonts w:ascii="Georgia" w:cs="Georgia" w:eastAsia="Georgia" w:hAnsi="Georgia"/>
          <w:b/>
          <w:bCs/>
          <w:color w:val="2C5AA0"/>
          <w:sz w:val="28"/>
          <w:szCs w:val="28"/>
        </w:rPr>
        <w:t xml:space="preserve">Uitwerking opdracht 2</w:t>
      </w:r>
    </w:p>
    <w:p>
      <w:pPr>
        <w:spacing w:after="140" w:line="300"/>
      </w:pPr>
      <w:r>
        <w:rPr>
          <w:rFonts w:ascii="Calibri" w:cs="Calibri" w:eastAsia="Calibri" w:hAnsi="Calibri"/>
          <w:b w:val="false"/>
          <w:bCs w:val="false"/>
          <w:i w:val="false"/>
          <w:iCs w:val="false"/>
          <w:sz w:val="22"/>
          <w:szCs w:val="22"/>
        </w:rPr>
        <w:t xml:space="preserve">Geen vast antwoord. Een veelvoorkomend meningsverschil: is "waardeoverdracht" drift, of een bewust, elders ontstaan verschil dat nooit "drift" heette omdat de twee partijen tot de overname nooit met elkaar te maken hadden? Bespreek dat drift een relationeel begrip is — het bestaat pas op het moment dat twee partijen een gedeelde context beginnen te vormen; wat daarvóór gewoon twee onafhankelijke, interne keuzes waren, wordt op het moment van samenkomen zichtbaar als een verschil dat om een besluit vraagt.</w:t>
      </w:r>
    </w:p>
    <w:p>
      <w:pPr>
        <w:pStyle w:val="Heading2"/>
        <w:spacing w:after="120" w:before="200"/>
      </w:pPr>
      <w:r>
        <w:rPr>
          <w:rFonts w:ascii="Georgia" w:cs="Georgia" w:eastAsia="Georgia" w:hAnsi="Georgia"/>
          <w:b/>
          <w:bCs/>
          <w:color w:val="2C5AA0"/>
          <w:sz w:val="28"/>
          <w:szCs w:val="28"/>
        </w:rPr>
        <w:t xml:space="preserve">Uitwerking opdracht 3</w:t>
      </w:r>
    </w:p>
    <w:p>
      <w:pPr>
        <w:spacing w:after="140" w:line="300"/>
      </w:pPr>
      <w:r>
        <w:rPr>
          <w:rFonts w:ascii="Calibri" w:cs="Calibri" w:eastAsia="Calibri" w:hAnsi="Calibri"/>
          <w:b/>
          <w:bCs/>
          <w:i w:val="false"/>
          <w:iCs w:val="false"/>
          <w:sz w:val="22"/>
          <w:szCs w:val="22"/>
        </w:rPr>
        <w:t xml:space="preserve">Deelnemer in opbouw</w:t>
      </w:r>
      <w:r>
        <w:rPr>
          <w:rFonts w:ascii="Calibri" w:cs="Calibri" w:eastAsia="Calibri" w:hAnsi="Calibri"/>
          <w:b w:val="false"/>
          <w:bCs w:val="false"/>
          <w:i w:val="false"/>
          <w:iCs w:val="false"/>
          <w:sz w:val="22"/>
          <w:szCs w:val="22"/>
        </w:rPr>
        <w:t xml:space="preserve"> — grensbreuk: het raakt het recht op informatie op een concreet, individueel bepaalbaar moment, en de onderliggende regel (ingangsdatum versus premie) verschilt daadwerkelijk.</w:t>
      </w:r>
    </w:p>
    <w:p>
      <w:pPr>
        <w:spacing w:after="140" w:line="300"/>
      </w:pPr>
      <w:r>
        <w:rPr>
          <w:rFonts w:ascii="Calibri" w:cs="Calibri" w:eastAsia="Calibri" w:hAnsi="Calibri"/>
          <w:b/>
          <w:bCs/>
          <w:i w:val="false"/>
          <w:iCs w:val="false"/>
          <w:sz w:val="22"/>
          <w:szCs w:val="22"/>
        </w:rPr>
        <w:t xml:space="preserve">Partner</w:t>
      </w:r>
      <w:r>
        <w:rPr>
          <w:rFonts w:ascii="Calibri" w:cs="Calibri" w:eastAsia="Calibri" w:hAnsi="Calibri"/>
          <w:b w:val="false"/>
          <w:bCs w:val="false"/>
          <w:i w:val="false"/>
          <w:iCs w:val="false"/>
          <w:sz w:val="22"/>
          <w:szCs w:val="22"/>
        </w:rPr>
        <w:t xml:space="preserve"> — grensbreuk, en de meest ingrijpende van de drie: het bepaalt rechtstreeks wie überhaupt in aanmerking komt voor een nabestaandenvoorziening, wat direct raakt aan het Nabestaandenloket-model dat Willemijn in niveau 1 mee opbouwde.</w:t>
      </w:r>
    </w:p>
    <w:p>
      <w:pPr>
        <w:spacing w:after="140" w:line="300"/>
      </w:pPr>
      <w:r>
        <w:rPr>
          <w:rFonts w:ascii="Calibri" w:cs="Calibri" w:eastAsia="Calibri" w:hAnsi="Calibri"/>
          <w:b/>
          <w:bCs/>
          <w:i w:val="false"/>
          <w:iCs w:val="false"/>
          <w:sz w:val="22"/>
          <w:szCs w:val="22"/>
        </w:rPr>
        <w:t xml:space="preserve">Waardeoverdracht</w:t>
      </w:r>
      <w:r>
        <w:rPr>
          <w:rFonts w:ascii="Calibri" w:cs="Calibri" w:eastAsia="Calibri" w:hAnsi="Calibri"/>
          <w:b w:val="false"/>
          <w:bCs w:val="false"/>
          <w:i w:val="false"/>
          <w:iCs w:val="false"/>
          <w:sz w:val="22"/>
          <w:szCs w:val="22"/>
        </w:rPr>
        <w:t xml:space="preserve"> — ook een grensbreuk, maar van een andere aard: geen begripsverwarring (beide partijen weten wat waardeoverdracht is), maar een verschil in reken­methode met een direct financieel gevolg per deelnemer.</w:t>
      </w:r>
    </w:p>
    <w:p>
      <w:pPr>
        <w:pStyle w:val="Heading2"/>
        <w:spacing w:after="120" w:before="200"/>
      </w:pPr>
      <w:r>
        <w:rPr>
          <w:rFonts w:ascii="Georgia" w:cs="Georgia" w:eastAsia="Georgia" w:hAnsi="Georgia"/>
          <w:b/>
          <w:bCs/>
          <w:color w:val="2C5AA0"/>
          <w:sz w:val="28"/>
          <w:szCs w:val="28"/>
        </w:rPr>
        <w:t xml:space="preserve">Uitwerking opdracht 4</w:t>
      </w:r>
    </w:p>
    <w:p>
      <w:pPr>
        <w:spacing w:after="140" w:line="300"/>
      </w:pPr>
      <w:r>
        <w:rPr>
          <w:rFonts w:ascii="Calibri" w:cs="Calibri" w:eastAsia="Calibri" w:hAnsi="Calibri"/>
          <w:b w:val="false"/>
          <w:bCs w:val="false"/>
          <w:i w:val="false"/>
          <w:iCs w:val="false"/>
          <w:sz w:val="22"/>
          <w:szCs w:val="22"/>
        </w:rPr>
        <w:t xml:space="preserve">Youssefs uitleg maakt het verschil beter verdedigbaar en beter te begrijpen — maar verandert niets aan de classificatie: het blijft een grensbreuk, omdat de onderliggende regel daadwerkelijk verschilt en dat verschil een deelnemer raakt. Wat de uitleg wél doet, is het gesprek verschuiven van "dit moet gecorrigeerd worden" naar "dit moet bewust worden besloten" — precies het onderscheid dat reader §26.7, stap 4, maakt: een grensbreuk hoeft niet automatisch te worden geharmoniseerd, maar mag nooit onopgemerkt blijven.</w:t>
      </w:r>
    </w:p>
    <w:p>
      <w:pPr>
        <w:pStyle w:val="Heading2"/>
        <w:spacing w:after="120" w:before="200"/>
      </w:pPr>
      <w:r>
        <w:rPr>
          <w:rFonts w:ascii="Georgia" w:cs="Georgia" w:eastAsia="Georgia" w:hAnsi="Georgia"/>
          <w:b/>
          <w:bCs/>
          <w:color w:val="2C5AA0"/>
          <w:sz w:val="28"/>
          <w:szCs w:val="28"/>
        </w:rPr>
        <w:t xml:space="preserve">Uitwerking opdracht 5 (voorbeeld)</w:t>
      </w:r>
    </w:p>
    <w:p>
      <w:pPr>
        <w:spacing w:after="140" w:line="300"/>
      </w:pPr>
      <w:r>
        <w:rPr>
          <w:rFonts w:ascii="Calibri" w:cs="Calibri" w:eastAsia="Calibri" w:hAnsi="Calibri"/>
          <w:b w:val="false"/>
          <w:bCs w:val="false"/>
          <w:i w:val="false"/>
          <w:iCs w:val="false"/>
          <w:sz w:val="22"/>
          <w:szCs w:val="22"/>
        </w:rPr>
        <w:t xml:space="preserve">Bij een fictief voorbeeld met het begrip "actief": afdeling verkoop gebruikt "actieve klant" voor iemand die in de laatste 12 maanden een bestelling plaatste; klantenservice gebruikt het voor iemand met een niet-gearchiveerd account, ongeacht bestelgedrag. Stap 3: grensbreuk, want een rapportage die beide definities door elkaar gebruikt, telt structureel verkeerd. Stap 4: de bevinding hoort bij de eigenaar van het klantbegrip te liggen (vaak een productmanager CRM), met als opties: twee expliciet benoemde termen invoeren ("bestelactief" versus "accountactief"), of één gezamenlijke definitie afspreken met een gedocumenteerde uitzondering voor het andere gebruik.</w:t>
      </w:r>
    </w:p>
    <w:p>
      <w:pPr>
        <w:pStyle w:val="Heading2"/>
        <w:spacing w:after="120" w:before="200"/>
      </w:pPr>
      <w:r>
        <w:rPr>
          <w:rFonts w:ascii="Georgia" w:cs="Georgia" w:eastAsia="Georgia" w:hAnsi="Georgia"/>
          <w:b/>
          <w:bCs/>
          <w:color w:val="2C5AA0"/>
          <w:sz w:val="28"/>
          <w:szCs w:val="28"/>
        </w:rPr>
        <w:t xml:space="preserve">Uitwerking opdracht 6 (voorbeeld)</w:t>
      </w:r>
    </w:p>
    <w:p>
      <w:pPr>
        <w:spacing w:after="140" w:line="300"/>
      </w:pPr>
      <w:r>
        <w:rPr>
          <w:rFonts w:ascii="Calibri" w:cs="Calibri" w:eastAsia="Calibri" w:hAnsi="Calibri"/>
          <w:b w:val="false"/>
          <w:bCs w:val="false"/>
          <w:i w:val="false"/>
          <w:iCs w:val="false"/>
          <w:sz w:val="22"/>
          <w:szCs w:val="22"/>
        </w:rPr>
        <w:t xml:space="preserve">Stap 1: "deelnemer in opbouw" is gekozen omdat het een recht bepaalt (informatie) en aan weerszijden van een aanstaande contextgrens voorkomt. Stap 2: Meridiaan hangt het op aan de eerste verwerkte premie; Kustveer aan de ingangsdatum van het dienstverband. Stap 3: grensbreuk (zie opdracht 3). Stap 4: het besluit hoort niet bij Daan alleen te liggen — hij signaleert en documenteert, maar de afweging (welke definitie geldt straks, voor wie, en tegen welke prijs) is een besluit dat het gecombineerde bestuur, met input van Youssef en later de actuaris, moet nemen — niet omdat het een taalkundige vraag is, maar omdat elke keuze een deelnemersrecht raakt. Denk aan opties als: één definitie voor het hele landschap (met winnaars en verliezers per populatie), twee definities die expliciet naast elkaar blijven bestaan met een gedocumenteerde vertaalregel, of een tijdelijke situatie tot na de deadline. Vergelijk met reader §26.8: het team zet dit bewust nog niet om in een keuze, maar op de kaart, en legt het voor aan wie kan bevestigen waaróm het verschil bestaat — precies wat hier gebeurt met Youssef.</w:t>
      </w:r>
    </w:p>
    <w:p>
      <w:pPr>
        <w:pStyle w:val="Heading2"/>
        <w:spacing w:after="120" w:before="200"/>
      </w:pPr>
      <w:r>
        <w:rPr>
          <w:rFonts w:ascii="Georgia" w:cs="Georgia" w:eastAsia="Georgia" w:hAnsi="Georgia"/>
          <w:b/>
          <w:bCs/>
          <w:color w:val="2C5AA0"/>
          <w:sz w:val="28"/>
          <w:szCs w:val="28"/>
        </w:rPr>
        <w:t xml:space="preserve">Uitwerking opdracht 7</w:t>
      </w:r>
    </w:p>
    <w:p>
      <w:pPr>
        <w:spacing w:after="140" w:line="300"/>
      </w:pPr>
      <w:r>
        <w:rPr>
          <w:rFonts w:ascii="Calibri" w:cs="Calibri" w:eastAsia="Calibri" w:hAnsi="Calibri"/>
          <w:b w:val="false"/>
          <w:bCs w:val="false"/>
          <w:i w:val="false"/>
          <w:iCs w:val="false"/>
          <w:sz w:val="22"/>
          <w:szCs w:val="22"/>
        </w:rPr>
        <w:t xml:space="preserve">Geen vaste uitwerking — persoonlijke reflectie. Bespreek in de klassikale afsluiting, als de groep dat wil, hoe vaak "dit model klopt niet" in de praktijk eigenlijk betekent "dit model is niet het onze."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Domain-Driven Design · Niveau 3 · Deel 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2026-08-16T19:19:09.809Z</dcterms:created>
  <dcterms:modified xsi:type="dcterms:W3CDTF">2026-08-16T19:19:09.809Z</dcterms:modified>
</cp:coreProperties>
</file>

<file path=docProps/custom.xml><?xml version="1.0" encoding="utf-8"?>
<Properties xmlns="http://schemas.openxmlformats.org/officeDocument/2006/custom-properties" xmlns:vt="http://schemas.openxmlformats.org/officeDocument/2006/docPropsVTypes"/>
</file>