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B2A4A" w:sz="12" w:space="4"/>
        </w:pBdr>
        <w:spacing w:after="160" w:before="240"/>
      </w:pPr>
      <w:r>
        <w:rPr>
          <w:rFonts w:ascii="Georgia" w:cs="Georgia" w:eastAsia="Georgia" w:hAnsi="Georgia"/>
          <w:b/>
          <w:bCs/>
          <w:color w:val="1B2A4A"/>
          <w:sz w:val="36"/>
          <w:szCs w:val="36"/>
        </w:rPr>
        <w:t xml:space="preserve">Deel 27 — DDD in fusie en organisatieverandering: twee modellen, één landschap</w:t>
      </w:r>
    </w:p>
    <w:p>
      <w:pPr>
        <w:spacing w:after="140" w:line="300"/>
      </w:pPr>
      <w:r>
        <w:rPr>
          <w:rFonts w:ascii="Calibri" w:cs="Calibri" w:eastAsia="Calibri" w:hAnsi="Calibri"/>
          <w:b w:val="false"/>
          <w:bCs w:val="false"/>
          <w:i w:val="false"/>
          <w:iCs w:val="false"/>
          <w:sz w:val="22"/>
          <w:szCs w:val="22"/>
        </w:rPr>
        <w:t xml:space="preserve">Docentenhandleiding · Ductus-cursus Domain-Driven Design · niveau 3 (expert) · deel 27 van 30</w:t>
      </w:r>
    </w:p>
    <w:p>
      <w:pPr>
        <w:spacing w:after="140" w:line="300"/>
      </w:pPr>
      <w:r>
        <w:rPr>
          <w:rFonts w:ascii="Calibri" w:cs="Calibri" w:eastAsia="Calibri" w:hAnsi="Calibri"/>
          <w:sz w:val="22"/>
          <w:szCs w:val="22"/>
        </w:rPr>
        <w:t xml:space="preserve"/>
      </w:r>
    </w:p>
    <w:p>
      <w:pPr>
        <w:pStyle w:val="Heading2"/>
        <w:spacing w:after="120" w:before="200"/>
      </w:pPr>
      <w:r>
        <w:rPr>
          <w:rFonts w:ascii="Georgia" w:cs="Georgia" w:eastAsia="Georgia" w:hAnsi="Georgia"/>
          <w:b/>
          <w:bCs/>
          <w:color w:val="2C5AA0"/>
          <w:sz w:val="28"/>
          <w:szCs w:val="28"/>
        </w:rPr>
        <w:t xml:space="preserve">1. Positie van dit deel</w:t>
      </w:r>
    </w:p>
    <w:p>
      <w:pPr>
        <w:spacing w:after="140" w:line="300"/>
      </w:pPr>
      <w:r>
        <w:rPr>
          <w:rFonts w:ascii="Calibri" w:cs="Calibri" w:eastAsia="Calibri" w:hAnsi="Calibri"/>
          <w:b w:val="false"/>
          <w:bCs w:val="false"/>
          <w:i w:val="false"/>
          <w:iCs w:val="false"/>
          <w:sz w:val="22"/>
          <w:szCs w:val="22"/>
        </w:rPr>
        <w:t xml:space="preserve">Dit is het inhoudelijke kernonderwerp van niveau 3: de volle botsing tussen twee deelnemersmodellen, na de eerste onthulling en het eerste, beperkte signaal in deel 26. Waar deel 26 draaide om vroege herkenning, draait dit deel om wat je doet zodra de herkenning is bevestigd en blijkt te wijzen op een fundamenteel modelverschil, niet op een oppervlakkig taalverschil. Het zwaartepunt is strategisch: dit deel introduceert de drie oplossingsrichtingen die in de masterproef van deel 30 verdedigd moeten worden, maar </w:t>
      </w:r>
      <w:r>
        <w:rPr>
          <w:rFonts w:ascii="Calibri" w:cs="Calibri" w:eastAsia="Calibri" w:hAnsi="Calibri"/>
          <w:b/>
          <w:bCs/>
          <w:i w:val="false"/>
          <w:iCs w:val="false"/>
          <w:sz w:val="22"/>
          <w:szCs w:val="22"/>
        </w:rPr>
        <w:t xml:space="preserve">beslist zelf niets</w:t>
      </w:r>
      <w:r>
        <w:rPr>
          <w:rFonts w:ascii="Calibri" w:cs="Calibri" w:eastAsia="Calibri" w:hAnsi="Calibri"/>
          <w:b w:val="false"/>
          <w:bCs w:val="false"/>
          <w:i w:val="false"/>
          <w:iCs w:val="false"/>
          <w:sz w:val="22"/>
          <w:szCs w:val="22"/>
        </w:rPr>
        <w:t xml:space="preserve"> — dat is een didactische keuze, geen vermijding. Bewaak dit strikt: de verleiding om deelnemers, of jezelf als docent, hier al een voorkeur te laten uitspreken is groot, en ondermijnt het effect van deel 28 en 30.</w:t>
      </w:r>
    </w:p>
    <w:p>
      <w:pPr>
        <w:pStyle w:val="ListParagraph"/>
        <w:numPr>
          <w:ilvl w:val="0"/>
          <w:numId w:val="1"/>
        </w:numPr>
        <w:spacing w:after="80"/>
      </w:pPr>
      <w:r>
        <w:rPr>
          <w:rFonts w:ascii="Calibri" w:cs="Calibri" w:eastAsia="Calibri" w:hAnsi="Calibri"/>
          <w:sz w:val="22"/>
          <w:szCs w:val="22"/>
        </w:rPr>
        <w:t xml:space="preserve">**Module-onderdeel:** directe toepassing van context mapping (niveau 2, deel 13-14: partnership, shared kernel, customer/supplier, conformist, anti-corruption layer, open host service/published language) op een fusiescenario tussen twee organisaties in plaats van tussen twee systemen van dezelfde organisatie. Raakt zijdelings organisatieverandering/Conway's Law (niveau 2, deel 20).</w:t>
      </w:r>
    </w:p>
    <w:p>
      <w:pPr>
        <w:pStyle w:val="ListParagraph"/>
        <w:numPr>
          <w:ilvl w:val="0"/>
          <w:numId w:val="1"/>
        </w:numPr>
        <w:spacing w:after="80"/>
      </w:pPr>
      <w:r>
        <w:rPr>
          <w:rFonts w:ascii="Calibri" w:cs="Calibri" w:eastAsia="Calibri" w:hAnsi="Calibri"/>
          <w:sz w:val="22"/>
          <w:szCs w:val="22"/>
        </w:rPr>
        <w:t xml:space="preserve">**Werkvorm:** de richtingenkaart (nieuw instrument van dit deel).</w:t>
      </w:r>
    </w:p>
    <w:p>
      <w:pPr>
        <w:pStyle w:val="ListParagraph"/>
        <w:numPr>
          <w:ilvl w:val="0"/>
          <w:numId w:val="1"/>
        </w:numPr>
        <w:spacing w:after="80"/>
      </w:pPr>
      <w:r>
        <w:rPr>
          <w:rFonts w:ascii="Calibri" w:cs="Calibri" w:eastAsia="Calibri" w:hAnsi="Calibri"/>
          <w:sz w:val="22"/>
          <w:szCs w:val="22"/>
        </w:rPr>
        <w:t xml:space="preserve">**Duur:** één dagdeel (circa 3 uur inclusief korte pauze).</w:t>
      </w:r>
    </w:p>
    <w:p>
      <w:pPr>
        <w:pStyle w:val="ListParagraph"/>
        <w:numPr>
          <w:ilvl w:val="0"/>
          <w:numId w:val="1"/>
        </w:numPr>
        <w:spacing w:after="80"/>
      </w:pPr>
      <w:r>
        <w:rPr>
          <w:rFonts w:ascii="Calibri" w:cs="Calibri" w:eastAsia="Calibri" w:hAnsi="Calibri"/>
          <w:sz w:val="22"/>
          <w:szCs w:val="22"/>
        </w:rPr>
        <w:t xml:space="preserve">**Voorbereiding deelnemers:** deel 26 gelezen (het eerste botsingspunt, Youssefs eerste optreden). Kennis van de context-mappingpatronen (niveau 2, deel 13-14) is sterk aan te raden — dit deel herhaalt shared kernel, anti-corruption layer en conformist kort maar veronderstelt bekendheid met het bredere patronenpalet.</w:t>
      </w:r>
    </w:p>
    <w:p>
      <w:pPr>
        <w:pStyle w:val="Heading2"/>
        <w:spacing w:after="120" w:before="200"/>
      </w:pPr>
      <w:r>
        <w:rPr>
          <w:rFonts w:ascii="Georgia" w:cs="Georgia" w:eastAsia="Georgia" w:hAnsi="Georgia"/>
          <w:b/>
          <w:bCs/>
          <w:color w:val="2C5AA0"/>
          <w:sz w:val="28"/>
          <w:szCs w:val="28"/>
        </w:rPr>
        <w:t xml:space="preserve">2. Tijdschema (dagdeel van circa 3 uur)</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Tijd</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Onderdeel</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0:00-0:20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Opening: de kamer, de drie botsingspunten (reader §27.2)</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0:20-0:35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1 en 2 — de drie botsingspunten wegen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0:35-0:50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waarom geen van beide modellen fout is (reader §27.3)</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0:50-1:15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de drie oplossingsrichtingen (reader §27.4)</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1:15-1:30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Pauze</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1:30-1:55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3 en 4 — richtingen op een nieuw botsingspunt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1:55-2:10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waarom dit geen zuiver architecturale keuze is (reader §27.5)</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2:10-2:20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Uitleg de richtingenkaart (reader §27.6)</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2:20-2:40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5 — richtingenkaart op eigen casus</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2:40-2:55</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6 — richtingenkaart op "partner", vergelijken met reader §27.7</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2:55-3:00</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Opdracht 7 (reflectie) en vooruitblik (reader §27.8)</w:t>
            </w:r>
          </w:p>
        </w:tc>
      </w:tr>
    </w:tbl>
    <w:p>
      <w:pPr>
        <w:pStyle w:val="Heading2"/>
        <w:spacing w:after="120" w:before="200"/>
      </w:pPr>
      <w:r>
        <w:rPr>
          <w:rFonts w:ascii="Georgia" w:cs="Georgia" w:eastAsia="Georgia" w:hAnsi="Georgia"/>
          <w:b/>
          <w:bCs/>
          <w:color w:val="2C5AA0"/>
          <w:sz w:val="28"/>
          <w:szCs w:val="28"/>
        </w:rPr>
        <w:t xml:space="preserve">3. De opening: laat de volle omvang in één keer landen</w:t>
      </w:r>
    </w:p>
    <w:p>
      <w:pPr>
        <w:spacing w:after="140" w:line="300"/>
      </w:pPr>
      <w:r>
        <w:rPr>
          <w:rFonts w:ascii="Calibri" w:cs="Calibri" w:eastAsia="Calibri" w:hAnsi="Calibri"/>
          <w:b w:val="false"/>
          <w:bCs w:val="false"/>
          <w:i w:val="false"/>
          <w:iCs w:val="false"/>
          <w:sz w:val="22"/>
          <w:szCs w:val="22"/>
        </w:rPr>
        <w:t xml:space="preserve">Anders dan in deel 26, waar één klein signaal het vertrekpunt was, opent dit deel met het volledige dossier: drie botsingspunten tegelijk, drie nieuwe personages (Youssef voluit, Loes en Thijs voor het eerst) in één kamer. Geef reader §27.2 de ruimte om als één doorlopende scène te landen — lees hem in zijn geheel voor of laat de groep hem in stilte lezen, in plaats van hem op te knippen. Vraag daarna: "wat valt je op aan hoe deze drie botsingspunten worden gepresenteerd — is er een volgorde van belangrijkheid, of legt Daan ze bewust gelijkwaardig neer?" (Antwoord: bewust gelijkwaardig — dat is zelf al een methodische keuze die de moeite waard is om te benoemen.)</w:t>
      </w:r>
    </w:p>
    <w:p>
      <w:pPr>
        <w:pStyle w:val="Heading2"/>
        <w:spacing w:after="120" w:before="200"/>
      </w:pPr>
      <w:r>
        <w:rPr>
          <w:rFonts w:ascii="Georgia" w:cs="Georgia" w:eastAsia="Georgia" w:hAnsi="Georgia"/>
          <w:b/>
          <w:bCs/>
          <w:color w:val="2C5AA0"/>
          <w:sz w:val="28"/>
          <w:szCs w:val="28"/>
        </w:rPr>
        <w:t xml:space="preserve">4. Veelgemaakte fouten bij het wegen van de botsingspunten (opdracht 1 en 2)</w:t>
      </w:r>
    </w:p>
    <w:tbl>
      <w:tblPr>
        <w:tblW w:type="pct" w:w="100%"/>
        <w:tblBorders>
          <w:top w:val="single" w:color="CCCCCC" w:sz="2"/>
          <w:left w:val="single" w:color="CCCCCC" w:sz="2"/>
          <w:bottom w:val="single" w:color="CCCCCC" w:sz="2"/>
          <w:right w:val="single" w:color="CCCCCC" w:sz="2"/>
          <w:insideH w:val="single" w:color="CCCCCC" w:sz="2"/>
          <w:insideV w:val="single" w:color="CCCCCC" w:sz="2"/>
        </w:tblBorders>
      </w:tblPr>
      <w:tblGrid>
        <w:gridCol w:w="100"/>
        <w:gridCol w:w="100"/>
        <w:gridCol w:w="100"/>
      </w:tblGrid>
      <w:tr>
        <w:trPr>
          <w:tblHeader/>
        </w:trPr>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ziet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er speelt</w:t>
            </w:r>
          </w:p>
        </w:tc>
        <w:tc>
          <w:tcPr>
            <w:shd w:fill="1B2A4A" w:color="auto" w:val="clear"/>
            <w:tcMar>
              <w:top w:type="dxa" w:w="100"/>
              <w:left w:type="dxa" w:w="120"/>
              <w:bottom w:type="dxa" w:w="100"/>
              <w:right w:type="dxa" w:w="120"/>
            </w:tcMar>
            <w:vAlign w:val="center"/>
          </w:tcPr>
          <w:p>
            <w:r>
              <w:rPr>
                <w:rFonts w:ascii="Calibri" w:cs="Calibri" w:eastAsia="Calibri" w:hAnsi="Calibri"/>
                <w:b/>
                <w:bCs/>
                <w:color w:val="FFFFFF"/>
                <w:sz w:val="20"/>
                <w:szCs w:val="20"/>
              </w:rPr>
              <w:t xml:space="preserve">Wat je doet</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rangschikken uitsluitend op financieel bedrag (dossierstuk 27-A)</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Vergeten dat omkeerbaarheid en tijdsdruk evengoed gewicht dragen</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"stel dat het bedrag bij 'partner' tien keer kleiner was — zou het probleem daarmee ook tien keer kleiner zijn?"</w:t>
            </w:r>
          </w:p>
        </w:tc>
      </w:tr>
      <w:tr>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Deelnemers behandelen de drie botsingspunten als los van elkaar, zonder te zien dat een keuze bij het ene punt een precedent zet voor het andere</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Het bredere patroon (drie punten, één relatie) wordt gemist</w:t>
            </w:r>
          </w:p>
        </w:tc>
        <w:tc>
          <w:tcPr>
            <w:tcMar>
              <w:top w:type="dxa" w:w="100"/>
              <w:left w:type="dxa" w:w="120"/>
              <w:bottom w:type="dxa" w:w="100"/>
              <w:right w:type="dxa" w:w="120"/>
            </w:tcMar>
            <w:vAlign w:val="center"/>
          </w:tcPr>
          <w:p>
            <w:r>
              <w:rPr>
                <w:rFonts w:ascii="Calibri" w:cs="Calibri" w:eastAsia="Calibri" w:hAnsi="Calibri"/>
                <w:b w:val="false"/>
                <w:bCs w:val="false"/>
                <w:color w:val="000000"/>
                <w:sz w:val="20"/>
                <w:szCs w:val="20"/>
              </w:rPr>
              <w:t xml:space="preserve">Vraag: "als jullie voor waardeoverdracht kiezen voor volledig samenvoegen, wat verwacht Kustveer dan bij 'partner'?"</w:t>
            </w:r>
          </w:p>
        </w:tc>
      </w:tr>
    </w:tbl>
    <w:p>
      <w:pPr>
        <w:pStyle w:val="Heading2"/>
        <w:spacing w:after="120" w:before="200"/>
      </w:pPr>
      <w:r>
        <w:rPr>
          <w:rFonts w:ascii="Georgia" w:cs="Georgia" w:eastAsia="Georgia" w:hAnsi="Georgia"/>
          <w:b/>
          <w:bCs/>
          <w:color w:val="2C5AA0"/>
          <w:sz w:val="28"/>
          <w:szCs w:val="28"/>
        </w:rPr>
        <w:t xml:space="preserve">5. Begeleiding bij de oplossingsrichtingen (opdracht 3 en 4)</w:t>
      </w:r>
    </w:p>
    <w:p>
      <w:pPr>
        <w:spacing w:after="140" w:line="300"/>
      </w:pPr>
      <w:r>
        <w:rPr>
          <w:rFonts w:ascii="Calibri" w:cs="Calibri" w:eastAsia="Calibri" w:hAnsi="Calibri"/>
          <w:b w:val="false"/>
          <w:bCs w:val="false"/>
          <w:i w:val="false"/>
          <w:iCs w:val="false"/>
          <w:sz w:val="22"/>
          <w:szCs w:val="22"/>
        </w:rPr>
        <w:t xml:space="preserve">De belangrijkste valkuil hier is dat deelnemers, vooral degenen met een sterk technische achtergrond, de drie richtingen als louter architecturale opties behandelen en de organisatorische vraag ("wat vraagt dit om vol te houden") overslaan. Vraag door bij richting A (shared kernel): "wie onderhoudt deze gedeelde definitie over vijf jaar, als Kustveer als apart bestuur niet meer bestaat maar de sectorpraktijk die de regel ooit rechtvaardigde nog wel?" Bij richting C (tijdelijk conformist): "wat is het concrete, geagendeerde moment waarop 'tijdelijk' wordt heroverwogen — en wat gebeurt er als dat moment stilzwijgend voorbijgaat, zoals bij zoveel 'tijdelijke' IT-beslissingen in de praktijk?"</w:t>
      </w:r>
    </w:p>
    <w:p>
      <w:pPr>
        <w:spacing w:after="140" w:line="300"/>
      </w:pPr>
      <w:r>
        <w:rPr>
          <w:rFonts w:ascii="Calibri" w:cs="Calibri" w:eastAsia="Calibri" w:hAnsi="Calibri"/>
          <w:b w:val="false"/>
          <w:bCs w:val="false"/>
          <w:i w:val="false"/>
          <w:iCs w:val="false"/>
          <w:sz w:val="22"/>
          <w:szCs w:val="22"/>
        </w:rPr>
        <w:t xml:space="preserve">Opdracht 3-4 (de vierde, nieuwe botsing) is bewust ontworpen om te laten zien dat de drie richtingen niet overal even zwaar wegen — sommige groepjes proberen alle drie botsingspunten met dezelfde richting op te lossen "voor consistentie." Stuur dat bij: consistentie in aanpak (elke botsing eerlijk doorlopen met de richtingenkaart) is iets anders dan consistentie in uitkomst (overal dezelfde richting kiezen).</w:t>
      </w:r>
    </w:p>
    <w:p>
      <w:pPr>
        <w:pStyle w:val="Heading2"/>
        <w:spacing w:after="120" w:before="200"/>
      </w:pPr>
      <w:r>
        <w:rPr>
          <w:rFonts w:ascii="Georgia" w:cs="Georgia" w:eastAsia="Georgia" w:hAnsi="Georgia"/>
          <w:b/>
          <w:bCs/>
          <w:color w:val="2C5AA0"/>
          <w:sz w:val="28"/>
          <w:szCs w:val="28"/>
        </w:rPr>
        <w:t xml:space="preserve">6. Begeleiding bij de richtingenkaart (opdracht 5 en 6)</w:t>
      </w:r>
    </w:p>
    <w:p>
      <w:pPr>
        <w:spacing w:after="140" w:line="300"/>
      </w:pPr>
      <w:r>
        <w:rPr>
          <w:rFonts w:ascii="Calibri" w:cs="Calibri" w:eastAsia="Calibri" w:hAnsi="Calibri"/>
          <w:b w:val="false"/>
          <w:bCs w:val="false"/>
          <w:i w:val="false"/>
          <w:iCs w:val="false"/>
          <w:sz w:val="22"/>
          <w:szCs w:val="22"/>
        </w:rPr>
        <w:t xml:space="preserve">Kolom 2 en het laatste veld zijn waar groepen het vaakst willen "invullen wat ze niet weten" in plaats van het open te laten en te benoemen wie het wél zou moeten weten. Bekrachtig dat gedrag expliciet: een architect die bij opdracht 5 zegt "dit kan ik niet invullen zonder de actuaris/HR-afdeling/juridische dienst," demonstreert precies de discipline die reader §27.5 beschrijft. Beoordeel dit soort antwoorden hoger dan een gegokt cijfer.</w:t>
      </w:r>
    </w:p>
    <w:p>
      <w:pPr>
        <w:spacing w:after="140" w:line="300"/>
      </w:pPr>
      <w:r>
        <w:rPr>
          <w:rFonts w:ascii="Calibri" w:cs="Calibri" w:eastAsia="Calibri" w:hAnsi="Calibri"/>
          <w:b w:val="false"/>
          <w:bCs w:val="false"/>
          <w:i w:val="false"/>
          <w:iCs w:val="false"/>
          <w:sz w:val="22"/>
          <w:szCs w:val="22"/>
        </w:rPr>
        <w:t xml:space="preserve">Bij opdracht 6 ("partner"): bewaak dat groepen niet stiekem toch een keuze maken onder het mom van "de richtingenkaart invullen." Het is prima als een groep zegt "wij zouden, met de informatie die we nu hebben, richting X het meest verdedigbaar vinden" — zolang ze expliciet benoemen dat dit een voorlopige inschatting is, geen definitief besluit, en dat het besluit uiteindelijk bij het bestuur ligt, niet bij hen.</w:t>
      </w:r>
    </w:p>
    <w:p>
      <w:pPr>
        <w:pStyle w:val="Heading2"/>
        <w:spacing w:after="120" w:before="200"/>
      </w:pPr>
      <w:r>
        <w:rPr>
          <w:rFonts w:ascii="Georgia" w:cs="Georgia" w:eastAsia="Georgia" w:hAnsi="Georgia"/>
          <w:b/>
          <w:bCs/>
          <w:color w:val="2C5AA0"/>
          <w:sz w:val="28"/>
          <w:szCs w:val="28"/>
        </w:rPr>
        <w:t xml:space="preserve">7. Materiaal</w:t>
      </w:r>
    </w:p>
    <w:p>
      <w:pPr>
        <w:pStyle w:val="ListParagraph"/>
        <w:numPr>
          <w:ilvl w:val="0"/>
          <w:numId w:val="1"/>
        </w:numPr>
        <w:spacing w:after="80"/>
      </w:pPr>
      <w:r>
        <w:rPr>
          <w:rFonts w:ascii="Calibri" w:cs="Calibri" w:eastAsia="Calibri" w:hAnsi="Calibri"/>
          <w:sz w:val="22"/>
          <w:szCs w:val="22"/>
        </w:rPr>
        <w:t xml:space="preserve">Werkboek deel 27 (met dossierstuk 27-A, Thijs' doorrekening)</w:t>
      </w:r>
    </w:p>
    <w:p>
      <w:pPr>
        <w:pStyle w:val="ListParagraph"/>
        <w:numPr>
          <w:ilvl w:val="0"/>
          <w:numId w:val="1"/>
        </w:numPr>
        <w:spacing w:after="80"/>
      </w:pPr>
      <w:r>
        <w:rPr>
          <w:rFonts w:ascii="Calibri" w:cs="Calibri" w:eastAsia="Calibri" w:hAnsi="Calibri"/>
          <w:sz w:val="22"/>
          <w:szCs w:val="22"/>
        </w:rPr>
        <w:t xml:space="preserve">Slidedeck deel 27</w:t>
      </w:r>
    </w:p>
    <w:p>
      <w:pPr>
        <w:pStyle w:val="ListParagraph"/>
        <w:numPr>
          <w:ilvl w:val="0"/>
          <w:numId w:val="1"/>
        </w:numPr>
        <w:spacing w:after="80"/>
      </w:pPr>
      <w:r>
        <w:rPr>
          <w:rFonts w:ascii="Calibri" w:cs="Calibri" w:eastAsia="Calibri" w:hAnsi="Calibri"/>
          <w:sz w:val="22"/>
          <w:szCs w:val="22"/>
        </w:rPr>
        <w:t xml:space="preserve">Flip-over of digitaal whiteboard voor opdracht 3 en 6, bij voorkeur met ruimte voor drie kolommen naast elkaar (de richtingenkaart leent zich goed voor een fysieke A3 per botsingspunt)</w:t>
      </w:r>
    </w:p>
    <w:p>
      <w:pPr>
        <w:pStyle w:val="Heading2"/>
        <w:spacing w:after="120" w:before="200"/>
      </w:pPr>
      <w:r>
        <w:rPr>
          <w:rFonts w:ascii="Georgia" w:cs="Georgia" w:eastAsia="Georgia" w:hAnsi="Georgia"/>
          <w:b/>
          <w:bCs/>
          <w:color w:val="2C5AA0"/>
          <w:sz w:val="28"/>
          <w:szCs w:val="28"/>
        </w:rPr>
        <w:t xml:space="preserve">8. Aantekeningen over de doorlopende lijn naar deel 28 en 30</w:t>
      </w:r>
    </w:p>
    <w:p>
      <w:pPr>
        <w:spacing w:after="140" w:line="300"/>
      </w:pPr>
      <w:r>
        <w:rPr>
          <w:rFonts w:ascii="Calibri" w:cs="Calibri" w:eastAsia="Calibri" w:hAnsi="Calibri"/>
          <w:b w:val="false"/>
          <w:bCs w:val="false"/>
          <w:i w:val="false"/>
          <w:iCs w:val="false"/>
          <w:sz w:val="22"/>
          <w:szCs w:val="22"/>
        </w:rPr>
        <w:t xml:space="preserve">Dit deel introduceert bewust alle drie de oplossingsrichtingen die in de masterproef van deel 30 verdedigd moeten worden, zonder een van de drie te bevoordelen. Geef bij vragen van deelnemers ("maar wat zou jij kiezen?") niet toe aan de verleiding om al een voorkeur te laten doorschemeren — verwijs naar deel 28, waar het onderwerp "wanneer forceer je géén DDD-oplossing" specifiek ingaat op de valkuil van een te snelle voorkeur voor samenvoegen "omdat het netter voelt." Loes' slotvraag in reader §27.7 ("wie zegt straks: dit is de prijs die we kiezen, en dit is waarom die eerlijk is?") is het bruggetje naar Iris' confrontatie met Daan in deel 28 over "op tijd" versus "goed" — benoem die lijn expliciet in de afsluiting van dit deel als een groep er zelf niet naar vraagt.</w:t>
      </w:r>
    </w:p>
    <w:p>
      <w:pPr>
        <w:spacing w:after="140" w:line="300"/>
      </w:pPr>
      <w:r>
        <w:rPr>
          <w:rFonts w:ascii="Calibri" w:cs="Calibri" w:eastAsia="Calibri" w:hAnsi="Calibri"/>
          <w:b w:val="false"/>
          <w:bCs w:val="false"/>
          <w:i w:val="false"/>
          <w:iCs w:val="false"/>
          <w:sz w:val="22"/>
          <w:szCs w:val="22"/>
        </w:rPr>
        <w:t xml:space="preserve">Willemijns korte terugkeer (reader §27.7) is bewust beperkt tot het "partner"-botsingspunt, in lijn met het casusdossier — laat haar niet breder meepraten over waardeoverdracht of "deelnemer in opbouw," dat ligt buiten haar rol.</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5AA0" w:sz="6" w:space="4"/>
      </w:pBdr>
      <w:jc w:val="right"/>
    </w:pPr>
    <w:r>
      <w:rPr>
        <w:rFonts w:ascii="Calibri" w:cs="Calibri" w:eastAsia="Calibri" w:hAnsi="Calibri"/>
        <w:color w:val="2C5AA0"/>
        <w:sz w:val="16"/>
        <w:szCs w:val="16"/>
      </w:rPr>
      <w:t xml:space="preserve">Domain-Driven Design · Niveau 3 · Deel 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2026-08-16T19:19:12.062Z</dcterms:created>
  <dcterms:modified xsi:type="dcterms:W3CDTF">2026-08-16T19:19:12.062Z</dcterms:modified>
</cp:coreProperties>
</file>

<file path=docProps/custom.xml><?xml version="1.0" encoding="utf-8"?>
<Properties xmlns="http://schemas.openxmlformats.org/officeDocument/2006/custom-properties" xmlns:vt="http://schemas.openxmlformats.org/officeDocument/2006/docPropsVTypes"/>
</file>