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27 — DDD in fusie en organisatieverandering: twee modellen, één landschap</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27 van 30</w:t>
      </w:r>
    </w:p>
    <w:p>
      <w:pPr>
        <w:spacing w:after="140" w:line="300"/>
      </w:pPr>
      <w:r>
        <w:rPr>
          <w:rFonts w:ascii="Calibri" w:cs="Calibri" w:eastAsia="Calibri" w:hAnsi="Calibri"/>
          <w:b w:val="false"/>
          <w:bCs w:val="false"/>
          <w:i w:val="false"/>
          <w:iCs w:val="false"/>
          <w:sz w:val="22"/>
          <w:szCs w:val="22"/>
        </w:rPr>
        <w:t xml:space="preserve">Eén dagdeel. Opdracht 1 en 2 werken de drie botsingspunten verder uit; opdracht 3 en 4 oefenen de drie oplossingsrichtingen op een nieuw botsingspunt; opdracht 5 en 6 doorlopen de richtingenkaart, eerst op een eigen casus, dan op "partner"; opdracht 7 is een korte, individuele reflectie. Uitwerkingen staan achterin. Geen van de opdrachten in dit werkboek vraagt om een definitieve keuze tussen de drie richtingen — dat is uitdrukkelijk voorbehouden aan deel 28 en de masterproef in deel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27-A — Thijs' eerste doorrekening (vereenvoudigd, ter illustratie)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Botsingspunt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Bij volledige Meridiaan-regel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Bij volledige Kustveer-regel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Geschatte groep geraakt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Waardeoverdracht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Kustveer-deelnemers met sectorbaanwisseling verliezen overdrachtswaarde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Landschapsbreed actuarieel niet houdbaar op deze schaal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circa 1.800 (Kustveer, historisch sectormobiel)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"Partner"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met ongeregistreerd partnerschap verliezen partnererkenning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Grotere onzekerheidsmarge in nabestaandenvoorziening landschapsbreed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circa 900 (Kustveer, geschat)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in opbouw"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Latere ingangsdatum informatierecht voor nieuwe Kustveer-instroom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Vroeger informatierecht landschapsbreed, geen bekend actuarieel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nieuwe instroom, aantal groeit door de tijd</w:t>
            </w:r>
          </w:p>
        </w:tc>
      </w:tr>
    </w:tbl>
    <w:p>
      <w:pPr>
        <w:spacing w:after="140" w:line="300"/>
      </w:pPr>
      <w:r>
        <w:rPr>
          <w:rFonts w:ascii="Calibri" w:cs="Calibri" w:eastAsia="Calibri" w:hAnsi="Calibri"/>
          <w:b w:val="false"/>
          <w:bCs w:val="false"/>
          <w:i/>
          <w:iCs/>
          <w:sz w:val="22"/>
          <w:szCs w:val="22"/>
        </w:rPr>
        <w:t xml:space="preserve">Let op: cijfers zijn fictief en uitsluitend illustratief, zoals het casusdossier vermeldt (§2).</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De drie botsingspunten wegen (15 min, individueel)</w:t>
      </w:r>
    </w:p>
    <w:p>
      <w:pPr>
        <w:spacing w:after="140" w:line="300"/>
      </w:pPr>
      <w:r>
        <w:rPr>
          <w:rFonts w:ascii="Calibri" w:cs="Calibri" w:eastAsia="Calibri" w:hAnsi="Calibri"/>
          <w:b w:val="false"/>
          <w:bCs w:val="false"/>
          <w:i w:val="false"/>
          <w:iCs w:val="false"/>
          <w:sz w:val="22"/>
          <w:szCs w:val="22"/>
        </w:rPr>
        <w:t xml:space="preserve">Lees dossierstuk 27-A en reader §27.2. Rangschik de drie botsingspunten naar wat jij inschat als het zwaarste om op te lossen — niet naar financieel bedrag, maar naar de combinatie van omvang van de geraakte groep, onomkeerbaarheid van het gevolg, en hoeveel tijdsdruk er op de deadline staat. Onderbouw kort.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Bespreking (10 min, tweetallen)</w:t>
      </w:r>
    </w:p>
    <w:p>
      <w:pPr>
        <w:spacing w:after="140" w:line="300"/>
      </w:pPr>
      <w:r>
        <w:rPr>
          <w:rFonts w:ascii="Calibri" w:cs="Calibri" w:eastAsia="Calibri" w:hAnsi="Calibri"/>
          <w:b w:val="false"/>
          <w:bCs w:val="false"/>
          <w:i w:val="false"/>
          <w:iCs w:val="false"/>
          <w:sz w:val="22"/>
          <w:szCs w:val="22"/>
        </w:rPr>
        <w:t xml:space="preserve">Vergelijk je rangschikking met die van je gesprekspartner. Waar verschillen jullie, en ligt dat verschil aan de feiten (dossierstuk 27-A) of aan een andere afweging van wat "zwaar" betekent?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De drie richtingen op een nieuw botsingspunt (25 min, groepjes van drie à vier)</w:t>
      </w:r>
    </w:p>
    <w:p>
      <w:pPr>
        <w:spacing w:after="140" w:line="300"/>
      </w:pPr>
      <w:r>
        <w:rPr>
          <w:rFonts w:ascii="Calibri" w:cs="Calibri" w:eastAsia="Calibri" w:hAnsi="Calibri"/>
          <w:b w:val="false"/>
          <w:bCs w:val="false"/>
          <w:i w:val="false"/>
          <w:iCs w:val="false"/>
          <w:sz w:val="22"/>
          <w:szCs w:val="22"/>
        </w:rPr>
        <w:t xml:space="preserve">Een vierde, kleiner botsingspunt komt pas na de sessie van reader §27.2 aan het licht: Kustveer kent, naast de wettelijke pensioenopbouw, een aanvullende, sectorspecifieke overlijdensuitkering die Meridiaan niet kent en waarvoor geen equivalent in het Meridiaan-landschap bestaat. Werk voor dit botsingspunt de drie richtingen uit reader §27.4 kort uit: wat zou samenvoegen hier betekenen (waarschijnlijk niet letterlijk "één model," want Meridiaan heeft niets om mee samen te voegen — bedenk een variant), wat zou een anti-corruption layer hier beschermen, en wat zou tijdelijk conformist hier concreet betekenen voor de getroffen deelnemers?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Bespreking (10 min, klassikaal)</w:t>
      </w:r>
    </w:p>
    <w:p>
      <w:pPr>
        <w:spacing w:after="140" w:line="300"/>
      </w:pPr>
      <w:r>
        <w:rPr>
          <w:rFonts w:ascii="Calibri" w:cs="Calibri" w:eastAsia="Calibri" w:hAnsi="Calibri"/>
          <w:b w:val="false"/>
          <w:bCs w:val="false"/>
          <w:i w:val="false"/>
          <w:iCs w:val="false"/>
          <w:sz w:val="22"/>
          <w:szCs w:val="22"/>
        </w:rPr>
        <w:t xml:space="preserve">Youssef zou bij dit vierde botsingspunt waarschijnlijk een andere positie innemen dan bij de andere drie — waarom? Bespreek of "tijdelijk conformist" bij een uitkering die je simpelweg laat vervallen omdat de ontvangende organisatie ze niet kent, wel dezelfde soort keuze is als tijdelijk conformist zijn bij een verschil in rekenmethode.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richtingenkaart op een eigen casus (20 min, dezelfde groepjes)</w:t>
      </w:r>
    </w:p>
    <w:p>
      <w:pPr>
        <w:spacing w:after="140" w:line="300"/>
      </w:pPr>
      <w:r>
        <w:rPr>
          <w:rFonts w:ascii="Calibri" w:cs="Calibri" w:eastAsia="Calibri" w:hAnsi="Calibri"/>
          <w:b w:val="false"/>
          <w:bCs w:val="false"/>
          <w:i w:val="false"/>
          <w:iCs w:val="false"/>
          <w:sz w:val="22"/>
          <w:szCs w:val="22"/>
        </w:rPr>
        <w:t xml:space="preserve">Bedenk, of gebruik uit eigen werkervaring, een situatie waarin twee organisaties (door fusie, overname, of samenwerking) een botsend begrip of proces moesten verzoenen — dit hoeft geen pensioenvoorbeeld te zijn. Vul kolom 1 en 3 van de richtingenkaart (reader §27.6) in voor alle drie de richtingen. Laat kolom 2 en het laatste veld voorlopig open als je de cijfers niet kent — benoem expliciet wie die informatie zou moeten aandragen.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richtingenkaart op "partner" (20 min, klassikaal of dezelfde groepjes)</w:t>
      </w:r>
    </w:p>
    <w:p>
      <w:pPr>
        <w:spacing w:after="140" w:line="300"/>
      </w:pPr>
      <w:r>
        <w:rPr>
          <w:rFonts w:ascii="Calibri" w:cs="Calibri" w:eastAsia="Calibri" w:hAnsi="Calibri"/>
          <w:b w:val="false"/>
          <w:bCs w:val="false"/>
          <w:i w:val="false"/>
          <w:iCs w:val="false"/>
          <w:sz w:val="22"/>
          <w:szCs w:val="22"/>
        </w:rPr>
        <w:t xml:space="preserve">Vul de richtingenkaart volledig in voor het botsingspunt "partner" uit reader §27.2, inclusief kolom 2 (met dossierstuk 27-A) en het laatste veld (omkeerbaarheid, en wie het besluit moet dragen). Werk zelfstandig een uitwerking uit vóórdat je die vergelijkt met reader §27.7.</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Individuele reflectie (10 min)</w:t>
      </w:r>
    </w:p>
    <w:p>
      <w:pPr>
        <w:spacing w:after="140" w:line="300"/>
      </w:pPr>
      <w:r>
        <w:rPr>
          <w:rFonts w:ascii="Calibri" w:cs="Calibri" w:eastAsia="Calibri" w:hAnsi="Calibri"/>
          <w:b w:val="false"/>
          <w:bCs w:val="false"/>
          <w:i w:val="false"/>
          <w:iCs w:val="false"/>
          <w:sz w:val="22"/>
          <w:szCs w:val="22"/>
        </w:rPr>
        <w:t xml:space="preserve">Loes zei aan het eind van de sessie: "Ik hoor drie richtingen, en ik hoor voor elk een prijs. Wat ik nog niet hoor, is wie in deze kamer straks zegt: dit is de prijs die we kiezen, en dit is waarom die eerlijk is." Als jij in Daans positie zat, welke van de drie richtingen zou je op dit moment, met de informatie uit dit deel, het moeilijkst vinden om hardop te verdedigen — en waarom? Dit is geen voorschot op deel 30; het is een eerlijke, persoonlijke inschatting.</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opdracht 1</w:t>
      </w:r>
    </w:p>
    <w:p>
      <w:pPr>
        <w:spacing w:after="140" w:line="300"/>
      </w:pPr>
      <w:r>
        <w:rPr>
          <w:rFonts w:ascii="Calibri" w:cs="Calibri" w:eastAsia="Calibri" w:hAnsi="Calibri"/>
          <w:b w:val="false"/>
          <w:bCs w:val="false"/>
          <w:i w:val="false"/>
          <w:iCs w:val="false"/>
          <w:sz w:val="22"/>
          <w:szCs w:val="22"/>
        </w:rPr>
        <w:t xml:space="preserve">Geen vast antwoord, maar een verdedigbare volgorde: "partner" weegt vaak het zwaarst — kleinste groep in aantal, maar het gevolg (geen erkenning bij overlijden) is het meest onomkeerbare van de drie als het misgaat, en raakt een recht dat pas zichtbaar wordt op het moment dat het te laat is om te herstellen. Waardeoverdracht heeft de grootste groep en het duidelijkste financiële gewicht, maar is beter compenseerbaar achteraf (een bedrag kan alsnog worden bijbetaald; een gemiste nabestaandenerkenning niet). "Deelnemer in opbouw" groeit in omvang naarmate de tijd verstrijkt (nieuwe instroom), wat het tijdsdruk-element sterker maakt dan bij de andere twee.</w:t>
      </w:r>
    </w:p>
    <w:p>
      <w:pPr>
        <w:pStyle w:val="Heading2"/>
        <w:spacing w:after="120" w:before="200"/>
      </w:pPr>
      <w:r>
        <w:rPr>
          <w:rFonts w:ascii="Georgia" w:cs="Georgia" w:eastAsia="Georgia" w:hAnsi="Georgia"/>
          <w:b/>
          <w:bCs/>
          <w:color w:val="2C5AA0"/>
          <w:sz w:val="28"/>
          <w:szCs w:val="28"/>
        </w:rPr>
        <w:t xml:space="preserve">Uitwerking opdracht 2</w:t>
      </w:r>
    </w:p>
    <w:p>
      <w:pPr>
        <w:spacing w:after="140" w:line="300"/>
      </w:pPr>
      <w:r>
        <w:rPr>
          <w:rFonts w:ascii="Calibri" w:cs="Calibri" w:eastAsia="Calibri" w:hAnsi="Calibri"/>
          <w:b w:val="false"/>
          <w:bCs w:val="false"/>
          <w:i w:val="false"/>
          <w:iCs w:val="false"/>
          <w:sz w:val="22"/>
          <w:szCs w:val="22"/>
        </w:rPr>
        <w:t xml:space="preserve">Geen vast antwoord — de discussie zelf is het leerpunt: verschillen ontstaan meestal niet uit onenigheid over de feiten in dossierstuk 27-A, maar uit een andere impliciete weging van "omvang" versus "onomkeerbaarheid" versus "tijdsdruk." Benoem dat deze afweging precies is waarom Thijs, Loes en de architect samen aan tafel zitten — geen van de drie criteria hoort door één rol alleen te worden gewogen.</w:t>
      </w:r>
    </w:p>
    <w:p>
      <w:pPr>
        <w:pStyle w:val="Heading2"/>
        <w:spacing w:after="120" w:before="200"/>
      </w:pPr>
      <w:r>
        <w:rPr>
          <w:rFonts w:ascii="Georgia" w:cs="Georgia" w:eastAsia="Georgia" w:hAnsi="Georgia"/>
          <w:b/>
          <w:bCs/>
          <w:color w:val="2C5AA0"/>
          <w:sz w:val="28"/>
          <w:szCs w:val="28"/>
        </w:rPr>
        <w:t xml:space="preserve">Uitwerking opdracht 3 (voorbeeld)</w:t>
      </w:r>
    </w:p>
    <w:p>
      <w:pPr>
        <w:spacing w:after="140" w:line="300"/>
      </w:pPr>
      <w:r>
        <w:rPr>
          <w:rFonts w:ascii="Calibri" w:cs="Calibri" w:eastAsia="Calibri" w:hAnsi="Calibri"/>
          <w:b w:val="false"/>
          <w:bCs w:val="false"/>
          <w:i w:val="false"/>
          <w:iCs w:val="false"/>
          <w:sz w:val="22"/>
          <w:szCs w:val="22"/>
        </w:rPr>
        <w:t xml:space="preserve">Samenvoegen (variant): Meridiaan introduceert de sectorspecifieke overlijdensuitkering landschapsbreed als nieuw, gedeeld onderdeel van het model — kostbaar en waarschijnlijk actuarieel disproportioneel voor een uitkering die maar voor een klein deel van de populatie relevant was. Anti-corruption layer: de uitkering blijft een eigen, afgeschermd Kustveer-onderdeel, zichtbaar en uitkeerbaar alleen voor de oorspronkelijke Kustveer-populatie, met een expliciete markering in het gecombineerde systeem dat dit een uitzondering is, geen landschapsstandaard. Tijdelijk conformist: de uitkering vervalt voor nieuwe situaties na de overname, blijft nog lopen voor reeds bestaande, en de vraag "voor altijd of definitief vervallen" wordt uitgesteld tot na de deadline — met als risico dat "tijdelijk vervallen" in de praktijk "definitief vervallen" wordt als niemand het later agendeert.</w:t>
      </w:r>
    </w:p>
    <w:p>
      <w:pPr>
        <w:pStyle w:val="Heading2"/>
        <w:spacing w:after="120" w:before="200"/>
      </w:pPr>
      <w:r>
        <w:rPr>
          <w:rFonts w:ascii="Georgia" w:cs="Georgia" w:eastAsia="Georgia" w:hAnsi="Georgia"/>
          <w:b/>
          <w:bCs/>
          <w:color w:val="2C5AA0"/>
          <w:sz w:val="28"/>
          <w:szCs w:val="28"/>
        </w:rPr>
        <w:t xml:space="preserve">Uitwerking opdracht 4</w:t>
      </w:r>
    </w:p>
    <w:p>
      <w:pPr>
        <w:spacing w:after="140" w:line="300"/>
      </w:pPr>
      <w:r>
        <w:rPr>
          <w:rFonts w:ascii="Calibri" w:cs="Calibri" w:eastAsia="Calibri" w:hAnsi="Calibri"/>
          <w:b w:val="false"/>
          <w:bCs w:val="false"/>
          <w:i w:val="false"/>
          <w:iCs w:val="false"/>
          <w:sz w:val="22"/>
          <w:szCs w:val="22"/>
        </w:rPr>
        <w:t xml:space="preserve">Youssef zou hier waarschijnlijk sterker op de anti-corruption layer aandringen dan bij de andere drie botsingspunten, omdat dit een recht is dat uniek is voor zijn deelnemers en nergens in het Meridiaan-model een tegenhanger heeft — "tijdelijk conformist" betekent hier niet "tijdelijk een andere regel volgen," maar "een recht tijdelijk niet uitkeren," wat een fundamenteel andere en zwaardere ingreep is dan bij een verschil in rekenmethode of ingangsdatum. Bespreek dat de drie richtingen niet in elk botsingspunt even zwaar wegen — een generiek instrument (de richtingenkaart) levert per geval een ander gewicht op, geen uniforme uitkomst.</w:t>
      </w:r>
    </w:p>
    <w:p>
      <w:pPr>
        <w:pStyle w:val="Heading2"/>
        <w:spacing w:after="120" w:before="200"/>
      </w:pPr>
      <w:r>
        <w:rPr>
          <w:rFonts w:ascii="Georgia" w:cs="Georgia" w:eastAsia="Georgia" w:hAnsi="Georgia"/>
          <w:b/>
          <w:bCs/>
          <w:color w:val="2C5AA0"/>
          <w:sz w:val="28"/>
          <w:szCs w:val="28"/>
        </w:rPr>
        <w:t xml:space="preserve">Uitwerking opdracht 5 (voorbeeld)</w:t>
      </w:r>
    </w:p>
    <w:p>
      <w:pPr>
        <w:spacing w:after="140" w:line="300"/>
      </w:pPr>
      <w:r>
        <w:rPr>
          <w:rFonts w:ascii="Calibri" w:cs="Calibri" w:eastAsia="Calibri" w:hAnsi="Calibri"/>
          <w:b w:val="false"/>
          <w:bCs w:val="false"/>
          <w:i w:val="false"/>
          <w:iCs w:val="false"/>
          <w:sz w:val="22"/>
          <w:szCs w:val="22"/>
        </w:rPr>
        <w:t xml:space="preserve">Bij een fictief voorbeeld van twee fuserende zorgverzekeraars met verschillende definities van "chronische aandoening" voor een aanvullende vergoeding: kolom 1 — samenvoegen lost de definitieverwarring volledig op maar vraagt een nieuw, gezamenlijk medisch-inhoudelijk besluit; ACL lost de verwarring op zonder het bestaande model te wijzigen, maar vraagt onderhoud zodra medische richtlijnen veranderen; tijdelijk conformist lost niets structureel op maar geeft snel duidelijkheid voor lopende polissen. Kolom 2 en het laatste veld: benoem expliciet dat dit cijfers vraagt van een actuaris/medisch adviseur die in dit voorbeeld niet is geraadpleegd — leg dat open in plaats van te gokken.</w:t>
      </w:r>
    </w:p>
    <w:p>
      <w:pPr>
        <w:pStyle w:val="Heading2"/>
        <w:spacing w:after="120" w:before="200"/>
      </w:pPr>
      <w:r>
        <w:rPr>
          <w:rFonts w:ascii="Georgia" w:cs="Georgia" w:eastAsia="Georgia" w:hAnsi="Georgia"/>
          <w:b/>
          <w:bCs/>
          <w:color w:val="2C5AA0"/>
          <w:sz w:val="28"/>
          <w:szCs w:val="28"/>
        </w:rPr>
        <w:t xml:space="preserve">Uitwerking opdracht 6 (voorbeeld)</w:t>
      </w:r>
    </w:p>
    <w:p>
      <w:pPr>
        <w:spacing w:after="140" w:line="300"/>
      </w:pPr>
      <w:r>
        <w:rPr>
          <w:rFonts w:ascii="Calibri" w:cs="Calibri" w:eastAsia="Calibri" w:hAnsi="Calibri"/>
          <w:b w:val="false"/>
          <w:bCs w:val="false"/>
          <w:i w:val="false"/>
          <w:iCs w:val="false"/>
          <w:sz w:val="22"/>
          <w:szCs w:val="22"/>
        </w:rPr>
        <w:t xml:space="preserve">Kolom 1: samenvoegen lost de erkenningsvraag definitief op voor iedereen, maar vraagt een nieuwe, gezamenlijk gedragen partnerdefinitie die niet simpelweg "de Meridiaan-definitie" of "de Kustveer-definitie" hoeft te zijn. ACL beschermt Meridiaans sluitende definitie en erkent Kustveers partnerschappen via een aparte, expliciete registratie voor de overgenomen populatie — maar vraagt een blijvend onderhouden vertaalregel voor grensgevallen. Tijdelijk conformist betekent dat gezamenlijke huishoudens zonder contract, tot nader order, niet als partner worden erkend binnen het Meridiaan-landschap. Kolom 2, met dossierstuk 27-A: circa 900 mensen geraakt bij volledige Meridiaan-regel; het verlies is bij overlijden binnen de conformist-periode niet compenseerbaar achteraf. Laatste veld: dit verlies is niet omkeerbaar zodra het zich voordoet (een overleden deelnemer kan niet met terugwerkende kracht een erkende partner krijgen), wat richting C hier bijzonder risicovol maakt vergeleken met waardeoverdracht; het besluit hoort niet bij de architect alleen te liggen, maar bij het bestuur met Loes als stem namens de geraakte groep. Vergelijk met reader §27.7: het team benoemt dit verschil in risicoprofiel expliciet zonder al te kiezen.</w:t>
      </w:r>
    </w:p>
    <w:p>
      <w:pPr>
        <w:pStyle w:val="Heading2"/>
        <w:spacing w:after="120" w:before="200"/>
      </w:pPr>
      <w:r>
        <w:rPr>
          <w:rFonts w:ascii="Georgia" w:cs="Georgia" w:eastAsia="Georgia" w:hAnsi="Georgia"/>
          <w:b/>
          <w:bCs/>
          <w:color w:val="2C5AA0"/>
          <w:sz w:val="28"/>
          <w:szCs w:val="28"/>
        </w:rPr>
        <w:t xml:space="preserve">Uitwerking opdracht 7</w:t>
      </w:r>
    </w:p>
    <w:p>
      <w:pPr>
        <w:spacing w:after="140" w:line="300"/>
      </w:pPr>
      <w:r>
        <w:rPr>
          <w:rFonts w:ascii="Calibri" w:cs="Calibri" w:eastAsia="Calibri" w:hAnsi="Calibri"/>
          <w:b w:val="false"/>
          <w:bCs w:val="false"/>
          <w:i w:val="false"/>
          <w:iCs w:val="false"/>
          <w:sz w:val="22"/>
          <w:szCs w:val="22"/>
        </w:rPr>
        <w:t xml:space="preserve">Geen vaste uitwerking — persoonlijke reflectie, bedoeld om deelnemers alvast te laten voelen wat deel 28 en 30 van hen zullen vragen. Een veelvoorkomend antwoord: tijdelijk conformist bij "partner" is het moeilijkst hardop te verdedigen, precies omdat het gevolg voor een individuele deelnemer onomkeerbaar kan zijn — bespreek dat "moeilijk te verdedigen" niet hetzelfde is als "verkeerd"; deel 28 gaat juist over hoe je zo'n moeilijke keuze wél verdedigbaar maakt, als ze de eerlijkste optie blijkt.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2026-08-16T19:19:12.029Z</dcterms:created>
  <dcterms:modified xsi:type="dcterms:W3CDTF">2026-08-16T19:19:12.029Z</dcterms:modified>
</cp:coreProperties>
</file>

<file path=docProps/custom.xml><?xml version="1.0" encoding="utf-8"?>
<Properties xmlns="http://schemas.openxmlformats.org/officeDocument/2006/custom-properties" xmlns:vt="http://schemas.openxmlformats.org/officeDocument/2006/docPropsVTypes"/>
</file>