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28 — Oordeel: wanneer je géén DDD toepast, en hoe je die grens verdedigt</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Dit deel is het competentie-zwaartepunt van niveau 3: geen nieuwe modelleertechniek, maar een oordeelsvaardigheid die dwars door alle voorgaande technieken heen snijdt — het vermogen om te herkennen wanneer een vraagstuk, ondanks dat het zich in DDD-taal laat formuleren, geen modelleervraagstuk is. Dit sluit inhoudelijk terug op </w:t>
      </w:r>
      <w:r>
        <w:rPr>
          <w:rFonts w:ascii="Calibri" w:cs="Calibri" w:eastAsia="Calibri" w:hAnsi="Calibri"/>
          <w:b/>
          <w:bCs/>
          <w:i w:val="false"/>
          <w:iCs w:val="false"/>
          <w:sz w:val="22"/>
          <w:szCs w:val="22"/>
        </w:rPr>
        <w:t xml:space="preserve">deel 1</w:t>
      </w:r>
      <w:r>
        <w:rPr>
          <w:rFonts w:ascii="Calibri" w:cs="Calibri" w:eastAsia="Calibri" w:hAnsi="Calibri"/>
          <w:b w:val="false"/>
          <w:bCs w:val="false"/>
          <w:i w:val="false"/>
          <w:iCs w:val="false"/>
          <w:sz w:val="22"/>
          <w:szCs w:val="22"/>
        </w:rPr>
        <w:t xml:space="preserve"> (de complexiteitstoets), maar de reikwijdte is nu groter: niet "is dit domeinonderdeel complex genoeg", maar "is dit hele vraagstuk, of een deel ervan, wel iets dat een architect met zijn instrumentarium mag beslissen." Bewaak dat de groep dit niet verwart met "DDD is hier niet van toepassing" — de kern is juist dat de meeste echte vraagstukken een gemengd deel hebben, en dat het oordeel zit in het splitsen, niet in het wegzetten van het hele vraagstuk als "niet DDD."</w:t>
      </w:r>
    </w:p>
    <w:p>
      <w:pPr>
        <w:pStyle w:val="ListParagraph"/>
        <w:numPr>
          <w:ilvl w:val="0"/>
          <w:numId w:val="1"/>
        </w:numPr>
        <w:spacing w:after="80"/>
      </w:pPr>
      <w:r>
        <w:rPr>
          <w:rFonts w:ascii="Calibri" w:cs="Calibri" w:eastAsia="Calibri" w:hAnsi="Calibri"/>
          <w:sz w:val="22"/>
          <w:szCs w:val="22"/>
        </w:rPr>
        <w:t xml:space="preserve">**Module-onderdeel:** dit deel oefent geen nieuw curriculumonderdeel van de iSAQB Advanced-module direct, maar een vaardigheid die in de CPSA-A-capstone impliciet wordt getoetst: weten waar de grens van je eigen architecturale mandaat ligt, en dat kunnen verdedigen tegenover examinatoren die zowel methodologische als communicatieve kwaliteit beoordelen (opzetdocument §1.1 — 20 punten methodologie, 10 punten communicatie). Directe voorbereiding op deel 29 en 30.</w:t>
      </w:r>
    </w:p>
    <w:p>
      <w:pPr>
        <w:pStyle w:val="ListParagraph"/>
        <w:numPr>
          <w:ilvl w:val="0"/>
          <w:numId w:val="1"/>
        </w:numPr>
        <w:spacing w:after="80"/>
      </w:pPr>
      <w:r>
        <w:rPr>
          <w:rFonts w:ascii="Calibri" w:cs="Calibri" w:eastAsia="Calibri" w:hAnsi="Calibri"/>
          <w:sz w:val="22"/>
          <w:szCs w:val="22"/>
        </w:rPr>
        <w:t xml:space="preserve">**Werkvorm:** de oordeelstoets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w:t>
      </w:r>
    </w:p>
    <w:p>
      <w:pPr>
        <w:pStyle w:val="ListParagraph"/>
        <w:numPr>
          <w:ilvl w:val="0"/>
          <w:numId w:val="1"/>
        </w:numPr>
        <w:spacing w:after="80"/>
      </w:pPr>
      <w:r>
        <w:rPr>
          <w:rFonts w:ascii="Calibri" w:cs="Calibri" w:eastAsia="Calibri" w:hAnsi="Calibri"/>
          <w:sz w:val="22"/>
          <w:szCs w:val="22"/>
        </w:rPr>
        <w:t xml:space="preserve">**Voorbereiding deelnemers:** deel 1 (complexiteitstoets) en deel 27 (de drie richtingen, de richtingenkaart) gelezen. Deel 27 is functioneel vereist — dit deel bouwt direct op de drie botsingspunten en drie richtingen die daar zijn geïntroduceerd.</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Iris' vraag, "op tijd of goed" (reader §28.1-28.2)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modelvraag of uitkomstvraag, dossierstuk 28-A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waarom "we lossen het op met een patroon" soms een schijnoplossing is (reader §28.3)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wat DDD wel/niet kan verdedigen bij Kustveer (reader §28.4)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oordeelstoets (reader §28.5)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en 4 — oordeelstoets op de premiekorting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overdracht formuleren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rollenoefening met Sigrid Palm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(reflectie), terugblik naar deel 1, vooruitblik (reader §28.7-28.8)</w:t>
            </w:r>
          </w:p>
        </w:tc>
      </w:tr>
    </w:tbl>
    <w:p>
      <w:pPr>
        <w:pStyle w:val="Heading2"/>
        <w:spacing w:after="120" w:before="200"/>
      </w:pPr>
      <w:r>
        <w:rPr>
          <w:rFonts w:ascii="Georgia" w:cs="Georgia" w:eastAsia="Georgia" w:hAnsi="Georgia"/>
          <w:b/>
          <w:bCs/>
          <w:color w:val="2C5AA0"/>
          <w:sz w:val="28"/>
          <w:szCs w:val="28"/>
        </w:rPr>
        <w:t xml:space="preserve">3. De opening: laat de scherpte van Iris' vraag landen vóór de theorie</w:t>
      </w:r>
    </w:p>
    <w:p>
      <w:pPr>
        <w:spacing w:after="140" w:line="300"/>
      </w:pPr>
      <w:r>
        <w:rPr>
          <w:rFonts w:ascii="Calibri" w:cs="Calibri" w:eastAsia="Calibri" w:hAnsi="Calibri"/>
          <w:b w:val="false"/>
          <w:bCs w:val="false"/>
          <w:i w:val="false"/>
          <w:iCs w:val="false"/>
          <w:sz w:val="22"/>
          <w:szCs w:val="22"/>
        </w:rPr>
        <w:t xml:space="preserve">Lees of laat reader §28.1-28.2 in zijn geheel landen voordat je naar de theorie in §28.3 beweegt. De kracht van dit deel zit in het feit dat Daan zelf, aan zijn bureau, de fout bijna maakt die het deel leert vermijden — hij tekent een vierde richtingenkaart voor een vraag die geen richtingenkaart-vraag is, en stopt zelf. Vraag de groep na het lezen: "Wat deed Daan fout, aan zijn bureau, vóórdat hij het zelf opmerkte?" Het antwoord (hij behandelde een bestuurlijke vraag als een modelleervraag, met een DDD-instrument) is de kern van het hele deel — leid hem liever uit de groep dan dat je hem meteen zelf geeft.</w:t>
      </w:r>
    </w:p>
    <w:p>
      <w:pPr>
        <w:pStyle w:val="Heading2"/>
        <w:spacing w:after="120" w:before="200"/>
      </w:pPr>
      <w:r>
        <w:rPr>
          <w:rFonts w:ascii="Georgia" w:cs="Georgia" w:eastAsia="Georgia" w:hAnsi="Georgia"/>
          <w:b/>
          <w:bCs/>
          <w:color w:val="2C5AA0"/>
          <w:sz w:val="28"/>
          <w:szCs w:val="28"/>
        </w:rPr>
        <w:t xml:space="preserve">4. Veelgemaakte fouten bij het modelvraag/uitkomstvraag-onderscheid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scoren bijna alles als "modelvraag", ook vraag 3 uit dossierstuk 28-A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neiging om het eigen vakgebied breed te trekken — begrijpelijk bij een groep die net vier delen lang context-mappingvaardigheid heeft opgebouwd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je vraag 3 als modelvraag beantwoordt, wat zeg je dan eigenlijk namens het bestuur zonder dat zij het weten?"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scoren bijna alles als "uitkomstvraag" uit voorzichtigheid ("dat durf ik niet zelf te zeggen")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Overcorrectie — het risico dat de oordeelstoets als excuus wordt gebruikt om geen enkele architecturale uitspraak meer te doen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"vraag 1 gaat over of het model scherp genoeg is om te toetsen — is dat niet precies waar je als architect wél verantwoordelijk voor bent?"</w:t>
            </w:r>
          </w:p>
        </w:tc>
      </w:tr>
    </w:tbl>
    <w:p>
      <w:pPr>
        <w:pStyle w:val="Heading2"/>
        <w:spacing w:after="120" w:before="200"/>
      </w:pPr>
      <w:r>
        <w:rPr>
          <w:rFonts w:ascii="Georgia" w:cs="Georgia" w:eastAsia="Georgia" w:hAnsi="Georgia"/>
          <w:b/>
          <w:bCs/>
          <w:color w:val="2C5AA0"/>
          <w:sz w:val="28"/>
          <w:szCs w:val="28"/>
        </w:rPr>
        <w:t xml:space="preserve">5. Begeleiding bij de oordeelstoets op de premiekorting (opdracht 3 en 4)</w:t>
      </w:r>
    </w:p>
    <w:p>
      <w:pPr>
        <w:spacing w:after="140" w:line="300"/>
      </w:pPr>
      <w:r>
        <w:rPr>
          <w:rFonts w:ascii="Calibri" w:cs="Calibri" w:eastAsia="Calibri" w:hAnsi="Calibri"/>
          <w:b w:val="false"/>
          <w:bCs w:val="false"/>
          <w:i w:val="false"/>
          <w:iCs w:val="false"/>
          <w:sz w:val="22"/>
          <w:szCs w:val="22"/>
        </w:rPr>
        <w:t xml:space="preserve">Dit is de opdracht waar de derde categorie (nog niet te splitsen, extern onderzoek nodig) bewust wordt geïntroduceerd — bewaak dat groepen niet geforceerd kiezen tussen "modelvraag" en "uitkomstvraag" als de eerlijke uitkomst is dat de vraag nog onvoldoende feitelijk is onderbouwd om te splitsen. Een groep die bij opdracht 3 zegt "we weten nog niet of de regeling actuarieel houdbaar was, dus we kunnen deze vraag nu niet volledig splitsen — dat onderzoek moet er eerst zijn" demonstreert precies de discipline uit reader §28.5, ook al staat die derde optie niet letterlijk in de stappen uitgeschreven. Beloon dat antwoord expliciet in de nabespreking van opdracht 4 en leg de brug naar de eerlijke-onzekerheid-categorie uit deel 22.</w:t>
      </w:r>
    </w:p>
    <w:p>
      <w:pPr>
        <w:pStyle w:val="Heading2"/>
        <w:spacing w:after="120" w:before="200"/>
      </w:pPr>
      <w:r>
        <w:rPr>
          <w:rFonts w:ascii="Georgia" w:cs="Georgia" w:eastAsia="Georgia" w:hAnsi="Georgia"/>
          <w:b/>
          <w:bCs/>
          <w:color w:val="2C5AA0"/>
          <w:sz w:val="28"/>
          <w:szCs w:val="28"/>
        </w:rPr>
        <w:t xml:space="preserve">6. Begeleiding bij opdracht 5 (de overdracht)</w:t>
      </w:r>
    </w:p>
    <w:p>
      <w:pPr>
        <w:spacing w:after="140" w:line="300"/>
      </w:pPr>
      <w:r>
        <w:rPr>
          <w:rFonts w:ascii="Calibri" w:cs="Calibri" w:eastAsia="Calibri" w:hAnsi="Calibri"/>
          <w:b w:val="false"/>
          <w:bCs w:val="false"/>
          <w:i w:val="false"/>
          <w:iCs w:val="false"/>
          <w:sz w:val="22"/>
          <w:szCs w:val="22"/>
        </w:rPr>
        <w:t xml:space="preserve">De valkuil hier is een overdracht die stopt bij "dat is aan het bestuur" — controleer bij elke groep of de overdracht drie dingen bevat: wélke vraag, waaróm die geen modelvraag is, en bij wíe (naam, rol uit het casusdossier) hij ligt. Een overdracht zonder deze drie elementen is inhoudelijk niet beter dan het probleem gewoon laten liggen — bespreek dat een vage overdracht ("dat moeten anderen maar beslissen") evenzeer een vorm van ontwijken is als een te snelle modelmatige "oplossing."</w:t>
      </w:r>
    </w:p>
    <w:p>
      <w:pPr>
        <w:pStyle w:val="Heading2"/>
        <w:spacing w:after="120" w:before="200"/>
      </w:pPr>
      <w:r>
        <w:rPr>
          <w:rFonts w:ascii="Georgia" w:cs="Georgia" w:eastAsia="Georgia" w:hAnsi="Georgia"/>
          <w:b/>
          <w:bCs/>
          <w:color w:val="2C5AA0"/>
          <w:sz w:val="28"/>
          <w:szCs w:val="28"/>
        </w:rPr>
        <w:t xml:space="preserve">7. Begeleiding bij de rollenoefening (opdracht 6)</w:t>
      </w:r>
    </w:p>
    <w:p>
      <w:pPr>
        <w:spacing w:after="140" w:line="300"/>
      </w:pPr>
      <w:r>
        <w:rPr>
          <w:rFonts w:ascii="Calibri" w:cs="Calibri" w:eastAsia="Calibri" w:hAnsi="Calibri"/>
          <w:b w:val="false"/>
          <w:bCs w:val="false"/>
          <w:i w:val="false"/>
          <w:iCs w:val="false"/>
          <w:sz w:val="22"/>
          <w:szCs w:val="22"/>
        </w:rPr>
        <w:t xml:space="preserve">Wijs voor de rol van Sigrid Palm bij voorkeur een deelnemer aan die in eerdere delen niet vaak een tegenspraak-rol had — de rol vraagt vooral doorvragen, geen improvisatie van pensioeninhoudelijke kennis. Geef de "Sigrid Palm"-speler vooraf mee: haar taal is risico en aantoonbaarheid, niet architectuurvocabulaire; laat haar bij een antwoord dat volledig in patroonjargon blijft hangen, doorvragen met een variant van "en wat betekent dat concreet voor de datakwaliteit die ik moet kunnen aantonen?" Beoordeel na afloop niet of de groep "goed pensioenrecht" kende, maar of ze het onderscheid modelvraag/uitkomstvraag hardop en zichtbaar toepasten.</w:t>
      </w:r>
    </w:p>
    <w:p>
      <w:pPr>
        <w:pStyle w:val="Heading2"/>
        <w:spacing w:after="120" w:before="200"/>
      </w:pPr>
      <w:r>
        <w:rPr>
          <w:rFonts w:ascii="Georgia" w:cs="Georgia" w:eastAsia="Georgia" w:hAnsi="Georgia"/>
          <w:b/>
          <w:bCs/>
          <w:color w:val="2C5AA0"/>
          <w:sz w:val="28"/>
          <w:szCs w:val="28"/>
        </w:rPr>
        <w:t xml:space="preserve">8. Materiaal</w:t>
      </w:r>
    </w:p>
    <w:p>
      <w:pPr>
        <w:pStyle w:val="ListParagraph"/>
        <w:numPr>
          <w:ilvl w:val="0"/>
          <w:numId w:val="1"/>
        </w:numPr>
        <w:spacing w:after="80"/>
      </w:pPr>
      <w:r>
        <w:rPr>
          <w:rFonts w:ascii="Calibri" w:cs="Calibri" w:eastAsia="Calibri" w:hAnsi="Calibri"/>
          <w:sz w:val="22"/>
          <w:szCs w:val="22"/>
        </w:rPr>
        <w:t xml:space="preserve">Werkboek deel 28 (met dossierstuk 28-A, Sigrid Palms vragenlijst)</w:t>
      </w:r>
    </w:p>
    <w:p>
      <w:pPr>
        <w:pStyle w:val="ListParagraph"/>
        <w:numPr>
          <w:ilvl w:val="0"/>
          <w:numId w:val="1"/>
        </w:numPr>
        <w:spacing w:after="80"/>
      </w:pPr>
      <w:r>
        <w:rPr>
          <w:rFonts w:ascii="Calibri" w:cs="Calibri" w:eastAsia="Calibri" w:hAnsi="Calibri"/>
          <w:sz w:val="22"/>
          <w:szCs w:val="22"/>
        </w:rPr>
        <w:t xml:space="preserve">Slidedeck deel 28</w:t>
      </w:r>
    </w:p>
    <w:p>
      <w:pPr>
        <w:pStyle w:val="ListParagraph"/>
        <w:numPr>
          <w:ilvl w:val="0"/>
          <w:numId w:val="1"/>
        </w:numPr>
        <w:spacing w:after="80"/>
      </w:pPr>
      <w:r>
        <w:rPr>
          <w:rFonts w:ascii="Calibri" w:cs="Calibri" w:eastAsia="Calibri" w:hAnsi="Calibri"/>
          <w:sz w:val="22"/>
          <w:szCs w:val="22"/>
        </w:rPr>
        <w:t xml:space="preserve">Voor opdracht 6: een los kaartje met de vier vragen van dossierstuk 28-A, uit te delen aan de deelnemer die Sigrid Palm speelt</w:t>
      </w:r>
    </w:p>
    <w:p>
      <w:pPr>
        <w:pStyle w:val="Heading2"/>
        <w:spacing w:after="120" w:before="200"/>
      </w:pPr>
      <w:r>
        <w:rPr>
          <w:rFonts w:ascii="Georgia" w:cs="Georgia" w:eastAsia="Georgia" w:hAnsi="Georgia"/>
          <w:b/>
          <w:bCs/>
          <w:color w:val="2C5AA0"/>
          <w:sz w:val="28"/>
          <w:szCs w:val="28"/>
        </w:rPr>
        <w:t xml:space="preserve">9. Aantekeningen over de doorlopende lijn naar deel 29 en 30</w:t>
      </w:r>
    </w:p>
    <w:p>
      <w:pPr>
        <w:spacing w:after="140" w:line="300"/>
      </w:pPr>
      <w:r>
        <w:rPr>
          <w:rFonts w:ascii="Calibri" w:cs="Calibri" w:eastAsia="Calibri" w:hAnsi="Calibri"/>
          <w:b w:val="false"/>
          <w:bCs w:val="false"/>
          <w:i w:val="false"/>
          <w:iCs w:val="false"/>
          <w:sz w:val="22"/>
          <w:szCs w:val="22"/>
        </w:rPr>
        <w:t xml:space="preserve">Het onderscheid dat dit deel leert — modelvraag versus uitkomstvraag, met de oordeelstoets als instrument om te splitsen in plaats van te vermijden — is een vast onderdeel van de voorbereiding in deel 29, waar deelnemers hun eigen examentaak moeten uitwerken en daarbij dezelfde grens moeten trekken tussen wat ze als architect verdedigen en wat ze bewust overdragen. In de masterproef van deel 30 is dit onderscheid een expliciet beoordelingscriterium: een kandidaat die op elke bestuurlijke vraag van de boardsimulatie een technisch antwoord geeft, scoort lager dan een kandidaat die precies aangeeft welk deel van zijn besluit een architecturale onderbouwing heeft en welk deel hij, met naam en reden, aan het bestuur heeft voorgelegd. Benoem die lijn expliciet in de afsluiting van dit deel, ook als de groep er zelf niet naar vraagt — het is de brug die deel 28, 29 en 30 inhoudelijk verbindt.</w:t>
      </w:r>
    </w:p>
    <w:p>
      <w:pPr>
        <w:spacing w:after="140" w:line="300"/>
      </w:pPr>
      <w:r>
        <w:rPr>
          <w:rFonts w:ascii="Calibri" w:cs="Calibri" w:eastAsia="Calibri" w:hAnsi="Calibri"/>
          <w:b w:val="false"/>
          <w:bCs w:val="false"/>
          <w:i w:val="false"/>
          <w:iCs w:val="false"/>
          <w:sz w:val="22"/>
          <w:szCs w:val="22"/>
        </w:rPr>
        <w:t xml:space="preserve">Let op een terugkerende valkuil bij ervaren architecten in de groep: zij zijn vaak het meest geneigd om ook de uitkomstvraag zelf te willen "oplossen", precies omdat ze gewend zijn problemen tot een sluitend antwoord te brengen. Normaliseer dat de oordeelstoets hier niet vraagt om minder goed werk te leveren, maar om een ander soort professionaliteit: weten wanneer je eigen antwoord, hoe goed ook, niet het antwoord is dat het probleem nodig heeft.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2026-08-16T19:19:14.339Z</dcterms:created>
  <dcterms:modified xsi:type="dcterms:W3CDTF">2026-08-16T19:19:14.339Z</dcterms:modified>
</cp:coreProperties>
</file>

<file path=docProps/custom.xml><?xml version="1.0" encoding="utf-8"?>
<Properties xmlns="http://schemas.openxmlformats.org/officeDocument/2006/custom-properties" xmlns:vt="http://schemas.openxmlformats.org/officeDocument/2006/docPropsVTypes"/>
</file>