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28 — Oordeel: wanneer je géén DDD toepast, en hoe je die grens verdedigt</w:t>
      </w:r>
    </w:p>
    <w:p>
      <w:pPr>
        <w:spacing w:after="140" w:line="300"/>
      </w:pPr>
      <w:r>
        <w:rPr>
          <w:rFonts w:ascii="Calibri" w:cs="Calibri" w:eastAsia="Calibri" w:hAnsi="Calibri"/>
          <w:b w:val="false"/>
          <w:bCs w:val="false"/>
          <w:i w:val="false"/>
          <w:iCs w:val="false"/>
          <w:sz w:val="22"/>
          <w:szCs w:val="22"/>
        </w:rPr>
        <w:t xml:space="preserve">Werkboek · Ductus-cursus Domain-Driven Design · niveau 3 (expert) · deel 28 van 30</w:t>
      </w:r>
    </w:p>
    <w:p>
      <w:pPr>
        <w:spacing w:after="140" w:line="300"/>
      </w:pPr>
      <w:r>
        <w:rPr>
          <w:rFonts w:ascii="Calibri" w:cs="Calibri" w:eastAsia="Calibri" w:hAnsi="Calibri"/>
          <w:b w:val="false"/>
          <w:bCs w:val="false"/>
          <w:i w:val="false"/>
          <w:iCs w:val="false"/>
          <w:sz w:val="22"/>
          <w:szCs w:val="22"/>
        </w:rPr>
        <w:t xml:space="preserve">Eén dagdeel. Opdracht 1 en 2 oefenen het onderscheid modelvraag/uitkomstvraag op kleine voorbeelden; opdracht 3 en 4 passen de oordeelstoets toe op een nieuw stuk van het Kustveer-dossier; opdracht 5 oefent het formuleren van een overdracht ("dit is niet aan mij, en dit is bij wie het wel hoort"); opdracht 6 is een korte rollenoefening met Sigrid Palm; opdracht 7 is individuele reflectie. Uitwerkingen staan achterin.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28-A — Fragment uit Sigrid Palms eerste vragenlijst (ter voorbereiding op het implementatieplan)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Is het deelnemersmodel voor de voormalige Kustveer-populatie, ongeacht de gekozen context-mappingrichting, scherp genoeg afgebakend om op datakwaliteit te toetsen?</w:t>
            </w:r>
          </w:p>
          <w:p>
            <w:pPr>
              <w:spacing w:after="100" w:line="280"/>
            </w:pPr>
            <w:r>
              <w:rPr>
                <w:rFonts w:ascii="Calibri" w:cs="Calibri" w:eastAsia="Calibri" w:hAnsi="Calibri"/>
                <w:i/>
                <w:iCs/>
                <w:sz w:val="22"/>
                <w:szCs w:val="22"/>
              </w:rPr>
              <w:t xml:space="preserve">Welke van de drie richtingen uit uw dossier heeft u gekozen, en waarom is dat de richting die het risico op onjuiste invaring het kleinst maakt?</w:t>
            </w:r>
          </w:p>
          <w:p>
            <w:pPr>
              <w:spacing w:after="100" w:line="280"/>
            </w:pPr>
            <w:r>
              <w:rPr>
                <w:rFonts w:ascii="Calibri" w:cs="Calibri" w:eastAsia="Calibri" w:hAnsi="Calibri"/>
                <w:i/>
                <w:iCs/>
                <w:sz w:val="22"/>
                <w:szCs w:val="22"/>
              </w:rPr>
              <w:t xml:space="preserve">Is de keuze voor de gekozen richting formeel bekrachtigd door het bestuur, inclusief de vertegenwoordiging namens de voormalige Kustveer-deelnemers?</w:t>
            </w:r>
          </w:p>
          <w:p>
            <w:pPr>
              <w:spacing w:after="100" w:line="280"/>
            </w:pPr>
            <w:r>
              <w:rPr>
                <w:rFonts w:ascii="Calibri" w:cs="Calibri" w:eastAsia="Calibri" w:hAnsi="Calibri"/>
                <w:i/>
                <w:iCs/>
                <w:sz w:val="22"/>
                <w:szCs w:val="22"/>
              </w:rPr>
              <w:t xml:space="preserve">Wat is het concrete, geagendeerde moment waarop een eventueel tijdelijke regeling wordt heroverwogen?</w:t>
            </w:r>
          </w:p>
        </w:tc>
      </w:tr>
    </w:tbl>
    <w:p>
      <w:pPr>
        <w:spacing w:after="140" w:line="300"/>
      </w:pPr>
      <w:r>
        <w:rPr>
          <w:rFonts w:ascii="Calibri" w:cs="Calibri" w:eastAsia="Calibri" w:hAnsi="Calibri"/>
          <w:b w:val="false"/>
          <w:bCs w:val="false"/>
          <w:i/>
          <w:iCs/>
          <w:sz w:val="22"/>
          <w:szCs w:val="22"/>
        </w:rPr>
        <w:t xml:space="preserve">Let op: dit fragment is fictief en dient uitsluitend ter illustratie van hoe een toezichthoudende vraag modelvragen en bestuurlijke vragen door elkaar kan bevatten.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Modelvraag of uitkomstvraag? (15 min, individueel)</w:t>
      </w:r>
    </w:p>
    <w:p>
      <w:pPr>
        <w:spacing w:after="140" w:line="300"/>
      </w:pPr>
      <w:r>
        <w:rPr>
          <w:rFonts w:ascii="Calibri" w:cs="Calibri" w:eastAsia="Calibri" w:hAnsi="Calibri"/>
          <w:b w:val="false"/>
          <w:bCs w:val="false"/>
          <w:i w:val="false"/>
          <w:iCs w:val="false"/>
          <w:sz w:val="22"/>
          <w:szCs w:val="22"/>
        </w:rPr>
        <w:t xml:space="preserve">Loop dossierstuk 28-A door, vraag voor vraag. Pas stap 2 van de oordeelstoets (reader §28.5) toe op elke vraag: scoort hij op de modelvraag, de uitkomstvraag, beide, of geen van beide? Onderbouw kort per vraag.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Bespreking (10 min, tweetallen)</w:t>
      </w:r>
    </w:p>
    <w:p>
      <w:pPr>
        <w:spacing w:after="140" w:line="300"/>
      </w:pPr>
      <w:r>
        <w:rPr>
          <w:rFonts w:ascii="Calibri" w:cs="Calibri" w:eastAsia="Calibri" w:hAnsi="Calibri"/>
          <w:b w:val="false"/>
          <w:bCs w:val="false"/>
          <w:i w:val="false"/>
          <w:iCs w:val="false"/>
          <w:sz w:val="22"/>
          <w:szCs w:val="22"/>
        </w:rPr>
        <w:t xml:space="preserve">Vergelijk je scores. Bij welke vraag verschillen jullie het meest, en ligt dat aan een andere lezing van de vraag, of aan een andere opvatting van waar de grens tussen "modelvraag" en "uitkomstvraag" precies ligt?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De oordeelstoets op een nieuw stuk dossier (25 min, groepjes van drie à vier)</w:t>
      </w:r>
    </w:p>
    <w:p>
      <w:pPr>
        <w:spacing w:after="140" w:line="300"/>
      </w:pPr>
      <w:r>
        <w:rPr>
          <w:rFonts w:ascii="Calibri" w:cs="Calibri" w:eastAsia="Calibri" w:hAnsi="Calibri"/>
          <w:b w:val="false"/>
          <w:bCs w:val="false"/>
          <w:i w:val="false"/>
          <w:iCs w:val="false"/>
          <w:sz w:val="22"/>
          <w:szCs w:val="22"/>
        </w:rPr>
        <w:t xml:space="preserve">Een nieuw punt komt tussen deel 27 en dit deel aan het licht: Kustveer kende, voor een klein deel van de deelnemers, een korting op de pensioenpremie bij deeltijdwerk in de sector — bedoeld om deeltijdwerk in de kustvaart aantrekkelijker te maken, een regeling die Meridiaan niet kent en waarvan de actuariële grondslag inmiddels twijfelachtig is (Thijs vermoedt dat de regeling, bij nadere doorrekening, mogelijk nooit kostendekkend is geweest). Doorloop de drie stappen van de oordeelstoets voor de vraag "wat doen we met deze premiekorting bij de fusie": herformuleer de vraag scherp, toets modelvraag/uitkomstvraag, splits waar nodig.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Bespreking (15 min, klassikaal)</w:t>
      </w:r>
    </w:p>
    <w:p>
      <w:pPr>
        <w:spacing w:after="140" w:line="300"/>
      </w:pPr>
      <w:r>
        <w:rPr>
          <w:rFonts w:ascii="Calibri" w:cs="Calibri" w:eastAsia="Calibri" w:hAnsi="Calibri"/>
          <w:b w:val="false"/>
          <w:bCs w:val="false"/>
          <w:i w:val="false"/>
          <w:iCs w:val="false"/>
          <w:sz w:val="22"/>
          <w:szCs w:val="22"/>
        </w:rPr>
        <w:t xml:space="preserve">Bespreek de uitkomst van opdracht 3. Ligt hier, anders dan bij de drie botsingspunten uit deel 27, misschien een derde soort vraag — niet zuiver modelmatig, niet zuiver bestuurlijk, maar een vraag die om extern (actuarieel) onderzoek vraagt vóórdat hij aan een van beide kanten kan worden toebedeeld? Bespreek of de oordeelstoets ruimte biedt voor "we weten nog niet genoeg om deze vraag te splitsen" als geldig tussenresultaat.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De overdracht formuleren (20 min, dezelfde groepjes)</w:t>
      </w:r>
    </w:p>
    <w:p>
      <w:pPr>
        <w:spacing w:after="140" w:line="300"/>
      </w:pPr>
      <w:r>
        <w:rPr>
          <w:rFonts w:ascii="Calibri" w:cs="Calibri" w:eastAsia="Calibri" w:hAnsi="Calibri"/>
          <w:b w:val="false"/>
          <w:bCs w:val="false"/>
          <w:i w:val="false"/>
          <w:iCs w:val="false"/>
          <w:sz w:val="22"/>
          <w:szCs w:val="22"/>
        </w:rPr>
        <w:t xml:space="preserve">Kies één uitkomstvraag uit opdracht 1 of 3. Schrijf, zoals Daan in reader §28.6 deed, een overdracht van maximaal vijf zinnen: wat is de vraag, waarom is hij geen modelvraag, en bij wie (naam en rol uit het casusdossier) hoort hij te liggen. Vermijd de formulering "dat is niet aan mij" zonder vervolg — de overdracht moet even concreet zijn als een modelmatig antwoord.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Rollenoefening: het gesprek met Sigrid Palm (20 min, groepjes van drie, één als Sigrid Palm)</w:t>
      </w:r>
    </w:p>
    <w:p>
      <w:pPr>
        <w:spacing w:after="140" w:line="300"/>
      </w:pPr>
      <w:r>
        <w:rPr>
          <w:rFonts w:ascii="Calibri" w:cs="Calibri" w:eastAsia="Calibri" w:hAnsi="Calibri"/>
          <w:b w:val="false"/>
          <w:bCs w:val="false"/>
          <w:i w:val="false"/>
          <w:iCs w:val="false"/>
          <w:sz w:val="22"/>
          <w:szCs w:val="22"/>
        </w:rPr>
        <w:t xml:space="preserve">Eén deelnemer speelt Sigrid Palm en stelt, op basis van dossierstuk 28-A, twee van de vier vragen aan de groep, met minstens één doorvraag per vraag. De groep antwoordt volgens het patroon uit reader §28.6: eerst de modelvraag beantwoorden met onderbouwing, dan expliciet de uitkomstvraag benoemen en overdragen. "Sigrid Palm" beoordeelt na afloop kort: voelde het antwoord als ontwijken, of als een heldere grens?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Individuele reflectie (10 min)</w:t>
      </w:r>
    </w:p>
    <w:p>
      <w:pPr>
        <w:spacing w:after="140" w:line="300"/>
      </w:pPr>
      <w:r>
        <w:rPr>
          <w:rFonts w:ascii="Calibri" w:cs="Calibri" w:eastAsia="Calibri" w:hAnsi="Calibri"/>
          <w:b w:val="false"/>
          <w:bCs w:val="false"/>
          <w:i w:val="false"/>
          <w:iCs w:val="false"/>
          <w:sz w:val="22"/>
          <w:szCs w:val="22"/>
        </w:rPr>
        <w:t xml:space="preserve">Iris zei tegen Daan: "Dat is niet het antwoord dat ik verwachtte toen ik de vraag stelde. Het is wel het antwoord dat ik nodig had." Denk aan een moment uit je eigen werk waarop je, onder druk van een leidinggevende of klant, een bestuurlijke of politieke vraag hebt beantwoord alsof het een technische vraag was — of andersom, een technische vraag hebt laten liggen omdat hij "toch bestuurlijk" leek. Wat zou de oordeelstoets daar hebben veranderd?</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opdracht 1</w:t>
      </w:r>
    </w:p>
    <w:p>
      <w:pPr>
        <w:spacing w:after="140" w:line="300"/>
      </w:pPr>
      <w:r>
        <w:rPr>
          <w:rFonts w:ascii="Calibri" w:cs="Calibri" w:eastAsia="Calibri" w:hAnsi="Calibri"/>
          <w:b w:val="false"/>
          <w:bCs w:val="false"/>
          <w:i w:val="false"/>
          <w:iCs w:val="false"/>
          <w:sz w:val="22"/>
          <w:szCs w:val="22"/>
        </w:rPr>
        <w:t xml:space="preserve">Vraag 1 (scherp afgebakend model voor datakwaliteitstoetsing): zuiver modelvraag — dit is precies wat Daan in reader §28.2 als "een vraag die ik vandaag kan beantwoorden" herkent. Vraag 2 (welke richting, waarom kleinste invaarrisico): scoort op beide — de technische risicovergelijking tussen richtingen is een modelvraag, maar "welke richting is gekozen" impliceert een besluit dat (mede) bestuurlijk is; splits deze in een technische risicovergelijking (architect) en een bevestiging van het genomen besluit (bestuur). Vraag 3 (formeel bekrachtigd door bestuur): zuiver uitkomst-/bestuursvraag — geen architect kan deze vraag namens het bestuur beantwoorden, alleen bevestigen dát die bekrachtiging heeft plaatsgevonden. Vraag 4 (concreet heroverwegingsmoment): overwegend bestuurlijk, met een modelmatige component (is het technisch mogelijk om op dat moment daadwerkelijk te wijzigen zonder het landschap opnieuw te breken) die de architect wel kan beantwoorden.</w:t>
      </w:r>
    </w:p>
    <w:p>
      <w:pPr>
        <w:pStyle w:val="Heading2"/>
        <w:spacing w:after="120" w:before="200"/>
      </w:pPr>
      <w:r>
        <w:rPr>
          <w:rFonts w:ascii="Georgia" w:cs="Georgia" w:eastAsia="Georgia" w:hAnsi="Georgia"/>
          <w:b/>
          <w:bCs/>
          <w:color w:val="2C5AA0"/>
          <w:sz w:val="28"/>
          <w:szCs w:val="28"/>
        </w:rPr>
        <w:t xml:space="preserve">Uitwerking opdracht 2</w:t>
      </w:r>
    </w:p>
    <w:p>
      <w:pPr>
        <w:spacing w:after="140" w:line="300"/>
      </w:pPr>
      <w:r>
        <w:rPr>
          <w:rFonts w:ascii="Calibri" w:cs="Calibri" w:eastAsia="Calibri" w:hAnsi="Calibri"/>
          <w:b w:val="false"/>
          <w:bCs w:val="false"/>
          <w:i w:val="false"/>
          <w:iCs w:val="false"/>
          <w:sz w:val="22"/>
          <w:szCs w:val="22"/>
        </w:rPr>
        <w:t xml:space="preserve">Geen vast antwoord — de discussie zelf is het leerpunt. Vraag 2 is doorgaans de vraag waarover de meeste discussie ontstaat, omdat "welke richting, en waarom" op het eerste gezicht als een zuiver architecturale vraag oogt (er staat tenslotte "waarom is dit technisch de beste keuze"), terwijl de vraag impliciet ook vraagt om het besluit zelf te bevestigen — en dat besluit is, zoals deel 27 vaststelde, niet aan de architect alleen.</w:t>
      </w:r>
    </w:p>
    <w:p>
      <w:pPr>
        <w:pStyle w:val="Heading2"/>
        <w:spacing w:after="120" w:before="200"/>
      </w:pPr>
      <w:r>
        <w:rPr>
          <w:rFonts w:ascii="Georgia" w:cs="Georgia" w:eastAsia="Georgia" w:hAnsi="Georgia"/>
          <w:b/>
          <w:bCs/>
          <w:color w:val="2C5AA0"/>
          <w:sz w:val="28"/>
          <w:szCs w:val="28"/>
        </w:rPr>
        <w:t xml:space="preserve">Uitwerking opdracht 3 (voorbeeld)</w:t>
      </w:r>
    </w:p>
    <w:p>
      <w:pPr>
        <w:spacing w:after="140" w:line="300"/>
      </w:pPr>
      <w:r>
        <w:rPr>
          <w:rFonts w:ascii="Calibri" w:cs="Calibri" w:eastAsia="Calibri" w:hAnsi="Calibri"/>
          <w:b w:val="false"/>
          <w:bCs w:val="false"/>
          <w:i w:val="false"/>
          <w:iCs w:val="false"/>
          <w:sz w:val="22"/>
          <w:szCs w:val="22"/>
        </w:rPr>
        <w:t xml:space="preserve">Scherpe vraag: "Handhaven we de deeltijd-premiekorting voor de voormalige Kustveer-deelnemers die er nu gebruik van maken, en breiden we haar uit naar het landschapsbrede model, of laten we haar aflopen?" Modelvraag-deel: is de regeling scherp genoeg gedefinieerd om te weten wie er precies onder valt, en is zij technisch te isoleren tot de bestaande Kustveer-populatie zonder het landschapsbrede model te raken (dit lijkt op een lichte anti-corruption layer-variant). Uitkomstvraag-deel: is het aanvaardbaar dat een groep deelnemers een gunstige regeling verliest die mogelijk nooit actuarieel gezond was — dat is een combinatie van een actuariële beoordeling (is de regeling houdbaar) en een bestuurlijk oordeel (is afbouwen, ook al is de regeling technisch onhoudbaar, eerlijk richting de mensen die er al gebruik van maakten). Een derde laag ligt hier inderdaad open: totdat Thijs de actuariële houdbaarheid heeft doorgerekend, kan de vraag niet volledig worden gesplitst — dit is precies het punt van opdracht 4.</w:t>
      </w:r>
    </w:p>
    <w:p>
      <w:pPr>
        <w:pStyle w:val="Heading2"/>
        <w:spacing w:after="120" w:before="200"/>
      </w:pPr>
      <w:r>
        <w:rPr>
          <w:rFonts w:ascii="Georgia" w:cs="Georgia" w:eastAsia="Georgia" w:hAnsi="Georgia"/>
          <w:b/>
          <w:bCs/>
          <w:color w:val="2C5AA0"/>
          <w:sz w:val="28"/>
          <w:szCs w:val="28"/>
        </w:rPr>
        <w:t xml:space="preserve">Uitwerking opdracht 4</w:t>
      </w:r>
    </w:p>
    <w:p>
      <w:pPr>
        <w:spacing w:after="140" w:line="300"/>
      </w:pPr>
      <w:r>
        <w:rPr>
          <w:rFonts w:ascii="Calibri" w:cs="Calibri" w:eastAsia="Calibri" w:hAnsi="Calibri"/>
          <w:b w:val="false"/>
          <w:bCs w:val="false"/>
          <w:i w:val="false"/>
          <w:iCs w:val="false"/>
          <w:sz w:val="22"/>
          <w:szCs w:val="22"/>
        </w:rPr>
        <w:t xml:space="preserve">Ja: naast modelvraag en uitkomstvraag is er hier een tussenvorm — een vraag die eerst feitelijk (actuarieel) onderzoek vraagt vóórdat vastgesteld kan worden welk deel modelvraag is en welk deel uitkomstvraag. De oordeelstoets biedt hier expliciet ruimte voor een derde uitkomst naast "dit is een modelvraag" en "dit is een uitkomstvraag": "dit kunnen we nog niet splitsen, en dit is wie het ontbrekende onderzoek moet leveren voordat we opnieuw toetsen" — dat is inhoudelijk hetzelfde soort eerlijke onzekerheid die deel 22 al onderscheidde van een oppervlakkig ja. Bekrachtig bij deelnemers die deze derde optie zelf noemen: dat is een volwassener antwoord dan geforceerd kiezen tussen twee categorieën die de vraag nog niet aankan.</w:t>
      </w:r>
    </w:p>
    <w:p>
      <w:pPr>
        <w:pStyle w:val="Heading2"/>
        <w:spacing w:after="120" w:before="200"/>
      </w:pPr>
      <w:r>
        <w:rPr>
          <w:rFonts w:ascii="Georgia" w:cs="Georgia" w:eastAsia="Georgia" w:hAnsi="Georgia"/>
          <w:b/>
          <w:bCs/>
          <w:color w:val="2C5AA0"/>
          <w:sz w:val="28"/>
          <w:szCs w:val="28"/>
        </w:rPr>
        <w:t xml:space="preserve">Uitwerking opdracht 5 (voorbeeld)</w:t>
      </w:r>
    </w:p>
    <w:p>
      <w:pPr>
        <w:spacing w:after="140" w:line="300"/>
      </w:pPr>
      <w:r>
        <w:rPr>
          <w:rFonts w:ascii="Calibri" w:cs="Calibri" w:eastAsia="Calibri" w:hAnsi="Calibri"/>
          <w:b w:val="false"/>
          <w:bCs w:val="false"/>
          <w:i w:val="false"/>
          <w:iCs w:val="false"/>
          <w:sz w:val="22"/>
          <w:szCs w:val="22"/>
        </w:rPr>
        <w:t xml:space="preserve">Op basis van "partner" uit deel 27: "De vraag of het aanvaardbaar is dat gezamenlijke huishoudens zonder contract tijdens een conformist-periode geen partnererkenning krijgen, is geen modelvraag — het model kan feilloos vastleggen wie wel en niet onder de huidige Meridiaan-definitie valt, maar niet of dat rechtvaardig is. Deze vraag hoort bij het bestuur, met Loes Verstappen als stem namens de voormalige Kustveer-deelnemers, en moet worden beantwoord vóórdat richting C als definitieve keuze voor dit botsingspunt wordt bevestigd." Beoordeel bij deze opdracht scherp of de overdracht een naam en een concreet vervolgmoment bevat, niet alleen "dat is aan het bestuur."</w:t>
      </w:r>
    </w:p>
    <w:p>
      <w:pPr>
        <w:pStyle w:val="Heading2"/>
        <w:spacing w:after="120" w:before="200"/>
      </w:pPr>
      <w:r>
        <w:rPr>
          <w:rFonts w:ascii="Georgia" w:cs="Georgia" w:eastAsia="Georgia" w:hAnsi="Georgia"/>
          <w:b/>
          <w:bCs/>
          <w:color w:val="2C5AA0"/>
          <w:sz w:val="28"/>
          <w:szCs w:val="28"/>
        </w:rPr>
        <w:t xml:space="preserve">Uitwerking opdracht 6</w:t>
      </w:r>
    </w:p>
    <w:p>
      <w:pPr>
        <w:spacing w:after="140" w:line="300"/>
      </w:pPr>
      <w:r>
        <w:rPr>
          <w:rFonts w:ascii="Calibri" w:cs="Calibri" w:eastAsia="Calibri" w:hAnsi="Calibri"/>
          <w:b w:val="false"/>
          <w:bCs w:val="false"/>
          <w:i w:val="false"/>
          <w:iCs w:val="false"/>
          <w:sz w:val="22"/>
          <w:szCs w:val="22"/>
        </w:rPr>
        <w:t xml:space="preserve">Geen vaste uitwerking — de kwaliteit zit in het patroon: eerst de modelvraag met onderbouwing beantwoorden (bijvoorbeeld vraag 1 uit dossierstuk 28-A concreet bevestigen met een verwijzing naar de aggregate-grenzen uit deel 18), dan expliciet markeren welk deel van de vraag een bestuurlijk oordeel vraagt en waarom, en tot slot benoemen bij wie dat oordeel ligt. Een antwoord dat op elke vraag van "Sigrid Palm" alleen zegt "dat is aan het bestuur" zonder eerst het modelmatige deel te beantwoorden, voelt terecht als ontwijken — bespreek dat verschil expliciet na afloop.</w:t>
      </w:r>
    </w:p>
    <w:p>
      <w:pPr>
        <w:pStyle w:val="Heading2"/>
        <w:spacing w:after="120" w:before="200"/>
      </w:pPr>
      <w:r>
        <w:rPr>
          <w:rFonts w:ascii="Georgia" w:cs="Georgia" w:eastAsia="Georgia" w:hAnsi="Georgia"/>
          <w:b/>
          <w:bCs/>
          <w:color w:val="2C5AA0"/>
          <w:sz w:val="28"/>
          <w:szCs w:val="28"/>
        </w:rPr>
        <w:t xml:space="preserve">Uitwerking opdracht 7</w:t>
      </w:r>
    </w:p>
    <w:p>
      <w:pPr>
        <w:spacing w:after="140" w:line="300"/>
      </w:pPr>
      <w:r>
        <w:rPr>
          <w:rFonts w:ascii="Calibri" w:cs="Calibri" w:eastAsia="Calibri" w:hAnsi="Calibri"/>
          <w:b w:val="false"/>
          <w:bCs w:val="false"/>
          <w:i w:val="false"/>
          <w:iCs w:val="false"/>
          <w:sz w:val="22"/>
          <w:szCs w:val="22"/>
        </w:rPr>
        <w:t xml:space="preserve">Geen vaste uitwerking — persoonlijke reflectie. Een veelvoorkomend patroon om te herkennen: technische professionals die een bestuurlijke prioriteitskeuze (bijvoorbeeld "welke twee van de drie deadlines halen we") oplossen met een technische maatregel (harder werken, scope stilzwijgend inkorten) in plaats van de keuze zelf expliciet aan de opdrachtgever voor te leggen. Bespreek dat de oordeelstoets hier niet vraagt om nooit meer zelf te beslissen, maar om het onderscheid hardop te maken vóórdat je beslist.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2026-08-16T19:19:14.319Z</dcterms:created>
  <dcterms:modified xsi:type="dcterms:W3CDTF">2026-08-16T19:19:14.319Z</dcterms:modified>
</cp:coreProperties>
</file>

<file path=docProps/custom.xml><?xml version="1.0" encoding="utf-8"?>
<Properties xmlns="http://schemas.openxmlformats.org/officeDocument/2006/custom-properties" xmlns:vt="http://schemas.openxmlformats.org/officeDocument/2006/docPropsVTypes"/>
</file>