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29 — CPSA-A-examentraining: de assignment-vorm oefenen</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3 (expert) · deel 29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Dit deel wijkt qua vorm sterker af van de rest van de cursus dan enig ander deel sinds deel 10 en 22: het oefent niet primair inhoud, maar de </w:t>
      </w:r>
      <w:r>
        <w:rPr>
          <w:rFonts w:ascii="Calibri" w:cs="Calibri" w:eastAsia="Calibri" w:hAnsi="Calibri"/>
          <w:b/>
          <w:bCs/>
          <w:i w:val="false"/>
          <w:iCs w:val="false"/>
          <w:sz w:val="22"/>
          <w:szCs w:val="22"/>
        </w:rPr>
        <w:t xml:space="preserve">procedurele vorm</w:t>
      </w:r>
      <w:r>
        <w:rPr>
          <w:rFonts w:ascii="Calibri" w:cs="Calibri" w:eastAsia="Calibri" w:hAnsi="Calibri"/>
          <w:b w:val="false"/>
          <w:bCs w:val="false"/>
          <w:i w:val="false"/>
          <w:iCs w:val="false"/>
          <w:sz w:val="22"/>
          <w:szCs w:val="22"/>
        </w:rPr>
        <w:t xml:space="preserve"> van het CPSA-A-examen zelf — taakkeuze na NDA, bedenktijd, schriftelijke uitwerking, mondelinge verdediging voor twee examinatoren. Het zwaartepunt is "alle" (opzetdocument, niveau 3-tabel): methodologie, technologie-aanpalend en communicatie komen alle drie samen, precies zoals de echte capstone ze combineert. Bewaak de balans tussen inhoud en vorm: de opdrachten leunen zwaar op het Kustveer-dossier voor materiaal, maar het leerdoel is de vaardigheid om onder deze specifieke vorm te presteren, niet nog een keer het Kustveer-vraagstuk inhoudelijk oplossen (dat gebeurt al in deel 27 en 28, en definitief in deel 30).</w:t>
      </w:r>
    </w:p>
    <w:p>
      <w:pPr>
        <w:pStyle w:val="ListParagraph"/>
        <w:numPr>
          <w:ilvl w:val="0"/>
          <w:numId w:val="1"/>
        </w:numPr>
        <w:spacing w:after="80"/>
      </w:pPr>
      <w:r>
        <w:rPr>
          <w:rFonts w:ascii="Calibri" w:cs="Calibri" w:eastAsia="Calibri" w:hAnsi="Calibri"/>
          <w:sz w:val="22"/>
          <w:szCs w:val="22"/>
        </w:rPr>
        <w:t xml:space="preserve">**Module-onderdeel:** dit deel bereidt niet voor op één curriculumonderdeel, maar op de **examenvorm** van CPSA-A als geheel — expliciet géén onderdeel van de iSAQB Advanced-module DDD zelf, wel een directe, eerlijk benoemde voorbereiding op wat daarna volgt (opzetdocument §1.2).</w:t>
      </w:r>
    </w:p>
    <w:p>
      <w:pPr>
        <w:pStyle w:val="ListParagraph"/>
        <w:numPr>
          <w:ilvl w:val="0"/>
          <w:numId w:val="1"/>
        </w:numPr>
        <w:spacing w:after="80"/>
      </w:pPr>
      <w:r>
        <w:rPr>
          <w:rFonts w:ascii="Calibri" w:cs="Calibri" w:eastAsia="Calibri" w:hAnsi="Calibri"/>
          <w:sz w:val="22"/>
          <w:szCs w:val="22"/>
        </w:rPr>
        <w:t xml:space="preserve">**Werkvorm:** de verdedigingskaart (nieuw instrument van dit deel).</w:t>
      </w:r>
    </w:p>
    <w:p>
      <w:pPr>
        <w:pStyle w:val="ListParagraph"/>
        <w:numPr>
          <w:ilvl w:val="0"/>
          <w:numId w:val="1"/>
        </w:numPr>
        <w:spacing w:after="80"/>
      </w:pPr>
      <w:r>
        <w:rPr>
          <w:rFonts w:ascii="Calibri" w:cs="Calibri" w:eastAsia="Calibri" w:hAnsi="Calibri"/>
          <w:sz w:val="22"/>
          <w:szCs w:val="22"/>
        </w:rPr>
        <w:t xml:space="preserve">**Duur:** één verlengd dagdeel (circa 4 uur) — langer dan een regulier dagdeel omdat de vorm zelf (taakkeuze, bedenktijd, verdediging, rolwissel) tijd vraagt die niet te comprimeren is zonder de oefenwaarde te verliezen. Niet gemarkeerd als "twee dagdelen" in het opzetdocument; plan desnoods een kwartier extra uitloop.</w:t>
      </w:r>
    </w:p>
    <w:p>
      <w:pPr>
        <w:pStyle w:val="ListParagraph"/>
        <w:numPr>
          <w:ilvl w:val="0"/>
          <w:numId w:val="1"/>
        </w:numPr>
        <w:spacing w:after="80"/>
      </w:pPr>
      <w:r>
        <w:rPr>
          <w:rFonts w:ascii="Calibri" w:cs="Calibri" w:eastAsia="Calibri" w:hAnsi="Calibri"/>
          <w:sz w:val="22"/>
          <w:szCs w:val="22"/>
        </w:rPr>
        <w:t xml:space="preserve">**Voorbereiding deelnemers:** deel 23 t/m 28 gelezen — dit deel veronderstelt vertrouwdheid met het volledige Kustveer-dossier tot en met de oordeelstoets (deel 28), die in veld 3 van de verdedigingskaart direct wordt toegepast.</w:t>
      </w:r>
    </w:p>
    <w:p>
      <w:pPr>
        <w:pStyle w:val="Heading2"/>
        <w:spacing w:after="120" w:before="200"/>
      </w:pPr>
      <w:r>
        <w:rPr>
          <w:rFonts w:ascii="Georgia" w:cs="Georgia" w:eastAsia="Georgia" w:hAnsi="Georgia"/>
          <w:b/>
          <w:bCs/>
          <w:color w:val="2C5AA0"/>
          <w:sz w:val="28"/>
          <w:szCs w:val="28"/>
        </w:rPr>
        <w:t xml:space="preserve">2. Tijdschema (verlengd dagdeel van circa 4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de echte examenvorm, feitelijk (reader §29.2)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casus: de enveloppe, de NDA, de twee taken (reader §29.3)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taakkeuze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gecomprimeerde bedenktijd, verdedigingskaart invullen (stil,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zelfcontrole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mondelinge verdediging in drietallen, drie rolwissels van elk 30 min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de twee examinatorrollen apart, nieuw mini-scenario</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3:20-3:45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Nabespreking: patronen uit de verdedigingen, koppeling aan reader §29.7-29.8</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3:45-4:00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(reflectie) en vooruitblik (reader §29.9)</w:t>
            </w:r>
          </w:p>
        </w:tc>
      </w:tr>
    </w:tbl>
    <w:p>
      <w:pPr>
        <w:pStyle w:val="Heading2"/>
        <w:spacing w:after="120" w:before="200"/>
      </w:pPr>
      <w:r>
        <w:rPr>
          <w:rFonts w:ascii="Georgia" w:cs="Georgia" w:eastAsia="Georgia" w:hAnsi="Georgia"/>
          <w:b/>
          <w:bCs/>
          <w:color w:val="2C5AA0"/>
          <w:sz w:val="28"/>
          <w:szCs w:val="28"/>
        </w:rPr>
        <w:t xml:space="preserve">3. De opening: laat de vorm zelf indruk maken, niet alleen de uitleg erover</w:t>
      </w:r>
    </w:p>
    <w:p>
      <w:pPr>
        <w:spacing w:after="140" w:line="300"/>
      </w:pPr>
      <w:r>
        <w:rPr>
          <w:rFonts w:ascii="Calibri" w:cs="Calibri" w:eastAsia="Calibri" w:hAnsi="Calibri"/>
          <w:b w:val="false"/>
          <w:bCs w:val="false"/>
          <w:i w:val="false"/>
          <w:iCs w:val="false"/>
          <w:sz w:val="22"/>
          <w:szCs w:val="22"/>
        </w:rPr>
        <w:t xml:space="preserve">Het effect van dit deel hangt sterk af van hoe serieus de enveloppe-en-NDA-opening wordt neergezet. Print dossierstuk 29-A daadwerkelijk uit en laat deelnemers hem fysiek ondertekenen (of, bij een online sessie, laat ze een chatbevestiging typen) vóórdat je de taken uitdeelt — de kleine ceremonie draagt bij aan het gevoel van "de klok loopt nu", wat precies is wat reader §29.3 beoogt. Vermijd de verleiding om de taken alvast een dag van tevoren te delen "zodat mensen zich kunnen voorbereiden" — dat ondermijnt het hele punt van de oefening.</w:t>
      </w:r>
    </w:p>
    <w:p>
      <w:pPr>
        <w:pStyle w:val="Heading2"/>
        <w:spacing w:after="120" w:before="200"/>
      </w:pPr>
      <w:r>
        <w:rPr>
          <w:rFonts w:ascii="Georgia" w:cs="Georgia" w:eastAsia="Georgia" w:hAnsi="Georgia"/>
          <w:b/>
          <w:bCs/>
          <w:color w:val="2C5AA0"/>
          <w:sz w:val="28"/>
          <w:szCs w:val="28"/>
        </w:rPr>
        <w:t xml:space="preserve">4. Begeleiding bij de taakkeuze (opdracht 1)</w:t>
      </w:r>
    </w:p>
    <w:p>
      <w:pPr>
        <w:spacing w:after="140" w:line="300"/>
      </w:pPr>
      <w:r>
        <w:rPr>
          <w:rFonts w:ascii="Calibri" w:cs="Calibri" w:eastAsia="Calibri" w:hAnsi="Calibri"/>
          <w:b w:val="false"/>
          <w:bCs w:val="false"/>
          <w:i w:val="false"/>
          <w:iCs w:val="false"/>
          <w:sz w:val="22"/>
          <w:szCs w:val="22"/>
        </w:rPr>
        <w:t xml:space="preserve">Laat deelnemers hun keuze niet vooraf met elkaar bespreken — de echte examenvorm kent geen ruggespraak. Loop tijdens deze tien minuten rond en let op deelnemers die zichtbaar twijfelen zonder te kunnen verwoorden waaróm; geef, indien nodig, een korte duw met de vraag "wat kun je in dertig minuten beter onderbouwen: iets waar je de details al kent, of iets waar je het instrument voor het eerst toepast?" zonder de keuze zelf te sturen.</w:t>
      </w:r>
    </w:p>
    <w:p>
      <w:pPr>
        <w:pStyle w:val="Heading2"/>
        <w:spacing w:after="120" w:before="200"/>
      </w:pPr>
      <w:r>
        <w:rPr>
          <w:rFonts w:ascii="Georgia" w:cs="Georgia" w:eastAsia="Georgia" w:hAnsi="Georgia"/>
          <w:b/>
          <w:bCs/>
          <w:color w:val="2C5AA0"/>
          <w:sz w:val="28"/>
          <w:szCs w:val="28"/>
        </w:rPr>
        <w:t xml:space="preserve">5. Begeleiding bij de verdedigingskaart (opdracht 2 en 3)</w:t>
      </w:r>
    </w:p>
    <w:p>
      <w:pPr>
        <w:spacing w:after="140" w:line="300"/>
      </w:pPr>
      <w:r>
        <w:rPr>
          <w:rFonts w:ascii="Calibri" w:cs="Calibri" w:eastAsia="Calibri" w:hAnsi="Calibri"/>
          <w:b w:val="false"/>
          <w:bCs w:val="false"/>
          <w:i w:val="false"/>
          <w:iCs w:val="false"/>
          <w:sz w:val="22"/>
          <w:szCs w:val="22"/>
        </w:rPr>
        <w:t xml:space="preserve">Dit is het langste, stille onderdeel van het deel en de kern van de oefenwaarde. Houd het stil — laat geen overleg toe, ook niet "even snel iets checken." Loop rond, maar grijp niet in tenzij iemand volledig vastloopt; het ongemak van zelfstandig moeten doorwerken is functioneel, geen ongelukje. Bij opdracht 3 (zelfcontrole): dit is waar deel 28's onderscheid modelvraag/uitkomstvraag terugkomt in de praktijk — deelnemers die zelf een vermenging in veld 2/3 ontdekken vóór de verdediging, doen precies wat de echte proef beloont. Noem dit expliciet in de nabespreking als iemand het hardop deelt.</w:t>
      </w:r>
    </w:p>
    <w:p>
      <w:pPr>
        <w:pStyle w:val="Heading2"/>
        <w:spacing w:after="120" w:before="200"/>
      </w:pPr>
      <w:r>
        <w:rPr>
          <w:rFonts w:ascii="Georgia" w:cs="Georgia" w:eastAsia="Georgia" w:hAnsi="Georgia"/>
          <w:b/>
          <w:bCs/>
          <w:color w:val="2C5AA0"/>
          <w:sz w:val="28"/>
          <w:szCs w:val="28"/>
        </w:rPr>
        <w:t xml:space="preserve">6. Veelgemaakte fouten bij de mondelinge verdediging (opdracht 4)</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Examinatoren stellen alleen vragen die letterlijk in de tekst van de kandidaat staan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Onzekerheid over de eigen rol, angst om "te streng" te zijn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voorafgaand expliciet: elke examinator moet minstens één onvoorziene vraag verzinnen — dat hoort bij de rol, niet bij onaardigheid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kandidaat verdedigt een fout in plaats van hem te herkennen zodra hij wordt aangewezen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om nooit toe te geven, ook als het argument zwak 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Koppel na afloop expliciet terug aan reader §29.7: Vera waardeerde Daans correctie hoger dan een meteen kloppend antwoord — leg dat verschil uit vóór de tweede rolwissel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communicatie-examinator stelt alsnog een inhoudelijke, methodologische vraag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over het onderscheid tussen de twee rollen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de communicatie-examinator test overdraagbaarheid, niet juistheid — "leg dit uit zonder vakjargon" is een communicatievraag, "is dit patroon juist toegepast" niet</w:t>
            </w:r>
          </w:p>
        </w:tc>
      </w:tr>
    </w:tbl>
    <w:p>
      <w:pPr>
        <w:pStyle w:val="Heading2"/>
        <w:spacing w:after="120" w:before="200"/>
      </w:pPr>
      <w:r>
        <w:rPr>
          <w:rFonts w:ascii="Georgia" w:cs="Georgia" w:eastAsia="Georgia" w:hAnsi="Georgia"/>
          <w:b/>
          <w:bCs/>
          <w:color w:val="2C5AA0"/>
          <w:sz w:val="28"/>
          <w:szCs w:val="28"/>
        </w:rPr>
        <w:t xml:space="preserve">7. Begeleiding bij opdracht 5 (rollen apart geoefend)</w:t>
      </w:r>
    </w:p>
    <w:p>
      <w:pPr>
        <w:spacing w:after="140" w:line="300"/>
      </w:pPr>
      <w:r>
        <w:rPr>
          <w:rFonts w:ascii="Calibri" w:cs="Calibri" w:eastAsia="Calibri" w:hAnsi="Calibri"/>
          <w:b w:val="false"/>
          <w:bCs w:val="false"/>
          <w:i w:val="false"/>
          <w:iCs w:val="false"/>
          <w:sz w:val="22"/>
          <w:szCs w:val="22"/>
        </w:rPr>
        <w:t xml:space="preserve">Deze opdracht werkt het best als de mini-casus echt nieuw is voor de deelnemers — vermijd dat iemand hem meteen naar het Kustveer-dossier terugvertaalt. Het doel is dat deelnemers de twee examinatorrollen kunnen toepassen op willekeurig materiaal, niet alleen op materiaal dat ze al van binnen en buiten kennen. Grijp in als een groep de improvisatie overslaat en meteen naar "wat zou Daan hier doen" springt.</w:t>
      </w:r>
    </w:p>
    <w:p>
      <w:pPr>
        <w:pStyle w:val="Heading2"/>
        <w:spacing w:after="120" w:before="200"/>
      </w:pPr>
      <w:r>
        <w:rPr>
          <w:rFonts w:ascii="Georgia" w:cs="Georgia" w:eastAsia="Georgia" w:hAnsi="Georgia"/>
          <w:b/>
          <w:bCs/>
          <w:color w:val="2C5AA0"/>
          <w:sz w:val="28"/>
          <w:szCs w:val="28"/>
        </w:rPr>
        <w:t xml:space="preserve">8. Materiaal</w:t>
      </w:r>
    </w:p>
    <w:p>
      <w:pPr>
        <w:pStyle w:val="ListParagraph"/>
        <w:numPr>
          <w:ilvl w:val="0"/>
          <w:numId w:val="1"/>
        </w:numPr>
        <w:spacing w:after="80"/>
      </w:pPr>
      <w:r>
        <w:rPr>
          <w:rFonts w:ascii="Calibri" w:cs="Calibri" w:eastAsia="Calibri" w:hAnsi="Calibri"/>
          <w:sz w:val="22"/>
          <w:szCs w:val="22"/>
        </w:rPr>
        <w:t xml:space="preserve">Werkboek deel 29 (met dossierstuk 29-A, de NDA, en dossierstuk 29-B, de twee taken)</w:t>
      </w:r>
    </w:p>
    <w:p>
      <w:pPr>
        <w:pStyle w:val="ListParagraph"/>
        <w:numPr>
          <w:ilvl w:val="0"/>
          <w:numId w:val="1"/>
        </w:numPr>
        <w:spacing w:after="80"/>
      </w:pPr>
      <w:r>
        <w:rPr>
          <w:rFonts w:ascii="Calibri" w:cs="Calibri" w:eastAsia="Calibri" w:hAnsi="Calibri"/>
          <w:sz w:val="22"/>
          <w:szCs w:val="22"/>
        </w:rPr>
        <w:t xml:space="preserve">Slidedeck deel 29</w:t>
      </w:r>
    </w:p>
    <w:p>
      <w:pPr>
        <w:pStyle w:val="ListParagraph"/>
        <w:numPr>
          <w:ilvl w:val="0"/>
          <w:numId w:val="1"/>
        </w:numPr>
        <w:spacing w:after="80"/>
      </w:pPr>
      <w:r>
        <w:rPr>
          <w:rFonts w:ascii="Calibri" w:cs="Calibri" w:eastAsia="Calibri" w:hAnsi="Calibri"/>
          <w:sz w:val="22"/>
          <w:szCs w:val="22"/>
        </w:rPr>
        <w:t xml:space="preserve">Een fysiek of digitaal exemplaar van dossierstuk 29-A om daadwerkelijk te laten ondertekenen</w:t>
      </w:r>
    </w:p>
    <w:p>
      <w:pPr>
        <w:pStyle w:val="ListParagraph"/>
        <w:numPr>
          <w:ilvl w:val="0"/>
          <w:numId w:val="1"/>
        </w:numPr>
        <w:spacing w:after="80"/>
      </w:pPr>
      <w:r>
        <w:rPr>
          <w:rFonts w:ascii="Calibri" w:cs="Calibri" w:eastAsia="Calibri" w:hAnsi="Calibri"/>
          <w:sz w:val="22"/>
          <w:szCs w:val="22"/>
        </w:rPr>
        <w:t xml:space="preserve">Een kort, los kaartje per rol (methodologie-examinator, communicatie-examinator) met de kernvraag van die rol, voor opdracht 4 en 5</w:t>
      </w:r>
    </w:p>
    <w:p>
      <w:pPr>
        <w:pStyle w:val="Heading2"/>
        <w:spacing w:after="120" w:before="200"/>
      </w:pPr>
      <w:r>
        <w:rPr>
          <w:rFonts w:ascii="Georgia" w:cs="Georgia" w:eastAsia="Georgia" w:hAnsi="Georgia"/>
          <w:b/>
          <w:bCs/>
          <w:color w:val="2C5AA0"/>
          <w:sz w:val="28"/>
          <w:szCs w:val="28"/>
        </w:rPr>
        <w:t xml:space="preserve">9. Aantekeningen over de doorlopende lijn naar deel 30</w:t>
      </w:r>
    </w:p>
    <w:p>
      <w:pPr>
        <w:spacing w:after="140" w:line="300"/>
      </w:pPr>
      <w:r>
        <w:rPr>
          <w:rFonts w:ascii="Calibri" w:cs="Calibri" w:eastAsia="Calibri" w:hAnsi="Calibri"/>
          <w:b w:val="false"/>
          <w:bCs w:val="false"/>
          <w:i w:val="false"/>
          <w:iCs w:val="false"/>
          <w:sz w:val="22"/>
          <w:szCs w:val="22"/>
        </w:rPr>
        <w:t xml:space="preserve">Dit deel is bewust een gecomprimeerde, generieke oefening — twee examinatoren, een halfuur bedenktijd in plaats van drie dagen, een systeemtype-formulering los van de eigennamen uit het Kustveer-dossier. Deel 30 keert terug naar de volle, specifieke vorm van het familiepatroon: het complete dossier, vier rollen in plaats van twee, twee dagdelen. Benoem bij de afsluiting van dit deel expliciet het verschil in doel: dit deel oefende de vaardigheid om de vorm te beheersen, ongeacht de inhoud; deel 30 toetst of Daan (en de deelnemer die zich met hem identificeert) die vaardigheid kan inzetten op het volledige, emotioneel en bestuurlijk zwaarder beladen Kustveer-besluit, met alle rollen die het dossier sinds deel 23 heeft opgebouwd.</w:t>
      </w:r>
    </w:p>
    <w:p>
      <w:pPr>
        <w:spacing w:after="140" w:line="300"/>
      </w:pPr>
      <w:r>
        <w:rPr>
          <w:rFonts w:ascii="Calibri" w:cs="Calibri" w:eastAsia="Calibri" w:hAnsi="Calibri"/>
          <w:b w:val="false"/>
          <w:bCs w:val="false"/>
          <w:i w:val="false"/>
          <w:iCs w:val="false"/>
          <w:sz w:val="22"/>
          <w:szCs w:val="22"/>
        </w:rPr>
        <w:t xml:space="preserve">Voor deelnemers die na deze cursus daadwerkelijk een CPSA-A-traject overwegen: herhaal, kort en zonder het als afsluitende disclaimer te laten voelen, dat dit deel geen erkende examentraining is en geen credit points oplevert — het is oefening in de vorm, met de inhoud van deze cursus als oefenmateriaal.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2026-08-16T19:19:16.606Z</dcterms:created>
  <dcterms:modified xsi:type="dcterms:W3CDTF">2026-08-16T19:19:16.606Z</dcterms:modified>
</cp:coreProperties>
</file>

<file path=docProps/custom.xml><?xml version="1.0" encoding="utf-8"?>
<Properties xmlns="http://schemas.openxmlformats.org/officeDocument/2006/custom-properties" xmlns:vt="http://schemas.openxmlformats.org/officeDocument/2006/docPropsVTypes"/>
</file>