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30 — Masterproef (twee dagdelen): boardsimulatie fusiescenario</w:t>
      </w:r>
    </w:p>
    <w:p>
      <w:pPr>
        <w:spacing w:after="140" w:line="300"/>
      </w:pPr>
      <w:r>
        <w:rPr>
          <w:rFonts w:ascii="Calibri" w:cs="Calibri" w:eastAsia="Calibri" w:hAnsi="Calibri"/>
          <w:b w:val="false"/>
          <w:bCs w:val="false"/>
          <w:i w:val="false"/>
          <w:iCs w:val="false"/>
          <w:sz w:val="22"/>
          <w:szCs w:val="22"/>
        </w:rPr>
        <w:t xml:space="preserve">Reader · Ductus-cursus Domain-Driven Design · niveau 3 (expert) · deel 30 van 30 · twee dagdelen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30.1 Waar dit deel over gaat</w:t>
      </w:r>
    </w:p>
    <w:p>
      <w:pPr>
        <w:spacing w:after="140" w:line="300"/>
      </w:pPr>
      <w:r>
        <w:rPr>
          <w:rFonts w:ascii="Calibri" w:cs="Calibri" w:eastAsia="Calibri" w:hAnsi="Calibri"/>
          <w:b w:val="false"/>
          <w:bCs w:val="false"/>
          <w:i w:val="false"/>
          <w:iCs w:val="false"/>
          <w:sz w:val="22"/>
          <w:szCs w:val="22"/>
        </w:rPr>
        <w:t xml:space="preserve">Dit is het laatste deel van de gehele cursus Domain-Driven Design — drie niveaus, dertig delen. Er komt geen nieuw instrument bij. Alles wat nodig is, ligt al op tafel: de richtingenkaart uit deel 27, de oordeelstoets uit deel 28, de verdedigingskaart uit deel 29, en, onderliggend aan dat alles, de complexiteitstoets waarmee deel 1 opende. Dit deel vraagt om dat instrumentarium tegelijk te gebruiken, in de zwaarste vorm die deze cursus kent: geen schriftelijke uitwerking voor twee examinatoren, zoals deel 29 oefende, maar een mondelinge verdediging voor een bord van vier — bestuur, actuaris, toezichthouder, en de architect van de partij wiens model op het spel staat.</w:t>
      </w:r>
    </w:p>
    <w:p>
      <w:pPr>
        <w:spacing w:after="140" w:line="300"/>
      </w:pPr>
      <w:r>
        <w:rPr>
          <w:rFonts w:ascii="Calibri" w:cs="Calibri" w:eastAsia="Calibri" w:hAnsi="Calibri"/>
          <w:b w:val="false"/>
          <w:bCs w:val="false"/>
          <w:i w:val="false"/>
          <w:iCs w:val="false"/>
          <w:sz w:val="22"/>
          <w:szCs w:val="22"/>
        </w:rPr>
        <w:t xml:space="preserve">Daan Kuiper moet, aan het eind van deel 28, zijn context-mappingbesluit over de Kustveer-integratie voor het eerst in volle omvang presenteren en verdedigen. Niet aan Iris alleen, niet aan het eigen team, maar aan een kamer waarin drie van de vier stoelen worden ingenomen door mensen die het besluit vanuit hun eigen, deels tegengestelde belang beoordelen — en die geen van drieën verplicht zijn om onder de indruk te zijn.</w:t>
      </w:r>
    </w:p>
    <w:p>
      <w:pPr>
        <w:spacing w:after="140" w:line="300"/>
      </w:pPr>
      <w:r>
        <w:rPr>
          <w:rFonts w:ascii="Calibri" w:cs="Calibri" w:eastAsia="Calibri" w:hAnsi="Calibri"/>
          <w:b w:val="false"/>
          <w:bCs w:val="false"/>
          <w:i w:val="false"/>
          <w:iCs w:val="false"/>
          <w:sz w:val="22"/>
          <w:szCs w:val="22"/>
        </w:rPr>
        <w:t xml:space="preserve">Aan het eind van dit deel heb je:</w:t>
      </w:r>
    </w:p>
    <w:p>
      <w:pPr>
        <w:pStyle w:val="ListParagraph"/>
        <w:numPr>
          <w:ilvl w:val="0"/>
          <w:numId w:val="1"/>
        </w:numPr>
        <w:spacing w:after="80"/>
      </w:pPr>
      <w:r>
        <w:rPr>
          <w:rFonts w:ascii="Calibri" w:cs="Calibri" w:eastAsia="Calibri" w:hAnsi="Calibri"/>
          <w:sz w:val="22"/>
          <w:szCs w:val="22"/>
        </w:rPr>
        <w:t xml:space="preserve">een volledig context-mappingbesluit voor de Kustveer-integratie opgesteld, met voor elk van de drie botsingspunten uit deel 27 een onderbouwde richting;</w:t>
      </w:r>
    </w:p>
    <w:p>
      <w:pPr>
        <w:pStyle w:val="ListParagraph"/>
        <w:numPr>
          <w:ilvl w:val="0"/>
          <w:numId w:val="1"/>
        </w:numPr>
        <w:spacing w:after="80"/>
      </w:pPr>
      <w:r>
        <w:rPr>
          <w:rFonts w:ascii="Calibri" w:cs="Calibri" w:eastAsia="Calibri" w:hAnsi="Calibri"/>
          <w:sz w:val="22"/>
          <w:szCs w:val="22"/>
        </w:rPr>
        <w:t xml:space="preserve">dat besluit expliciet ontleed met de oordeelstoets uit deel 28, zodat helder is welk deel je als architect draagt en welk deel je, met naam, aan bestuur, actuaris of toezichthouder overdraagt;</w:t>
      </w:r>
    </w:p>
    <w:p>
      <w:pPr>
        <w:pStyle w:val="ListParagraph"/>
        <w:numPr>
          <w:ilvl w:val="0"/>
          <w:numId w:val="1"/>
        </w:numPr>
        <w:spacing w:after="80"/>
      </w:pPr>
      <w:r>
        <w:rPr>
          <w:rFonts w:ascii="Calibri" w:cs="Calibri" w:eastAsia="Calibri" w:hAnsi="Calibri"/>
          <w:sz w:val="22"/>
          <w:szCs w:val="22"/>
        </w:rPr>
        <w:t xml:space="preserve">dat besluit verdedigd voor vier rollen met uiteenlopende belangen, onder zowel vooraf gedeelde als onvoorziene vragen;</w:t>
      </w:r>
    </w:p>
    <w:p>
      <w:pPr>
        <w:pStyle w:val="ListParagraph"/>
        <w:numPr>
          <w:ilvl w:val="0"/>
          <w:numId w:val="1"/>
        </w:numPr>
        <w:spacing w:after="80"/>
      </w:pPr>
      <w:r>
        <w:rPr>
          <w:rFonts w:ascii="Calibri" w:cs="Calibri" w:eastAsia="Calibri" w:hAnsi="Calibri"/>
          <w:sz w:val="22"/>
          <w:szCs w:val="22"/>
        </w:rPr>
        <w:t xml:space="preserve">ervaren hoe de rubriekfilosofie van de hele cursusfamilie — een onderbouwd "nee, dit niet" weegt zwaarder dan een oppervlakkig "ja, alles" — aanvoelt wanneer er, in de fictie van de casus, het pensioen van 14.000 mensen op het spel lijkt te staan.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30.2 De opdracht</w:t>
      </w:r>
    </w:p>
    <w:p>
      <w:pPr>
        <w:spacing w:after="140" w:line="300"/>
      </w:pPr>
      <w:r>
        <w:rPr>
          <w:rFonts w:ascii="Calibri" w:cs="Calibri" w:eastAsia="Calibri" w:hAnsi="Calibri"/>
          <w:b w:val="false"/>
          <w:bCs w:val="false"/>
          <w:i/>
          <w:iCs/>
          <w:sz w:val="22"/>
          <w:szCs w:val="22"/>
        </w:rPr>
        <w:t xml:space="preserve">Uit het casusdossier: het volledige Kustveer-dossier ligt open sinds deel 27 — drie botsingspunten (waardeoverdracht, "partner," "deelnemer in opbouw"), drie generieke oplossingsrichtingen (shared kernel, anti-corruption layer, tijdelijk conformist), en, sinds deel 28, het onderscheid tussen wat een modelleervraag is en wat een bestuurlijke vraag. Iris heeft een datum geprikt: over twee weken presenteert Daan het besluit aan een uitgebreid bestuur, met Sigrid Palm namens DNB aanwezig.</w:t>
      </w:r>
    </w:p>
    <w:p>
      <w:pPr>
        <w:spacing w:after="140" w:line="300"/>
      </w:pPr>
      <w:r>
        <w:rPr>
          <w:rFonts w:ascii="Calibri" w:cs="Calibri" w:eastAsia="Calibri" w:hAnsi="Calibri"/>
          <w:b w:val="false"/>
          <w:bCs w:val="false"/>
          <w:i w:val="false"/>
          <w:iCs w:val="false"/>
          <w:sz w:val="22"/>
          <w:szCs w:val="22"/>
        </w:rPr>
        <w:t xml:space="preserve">Jij bent Daan Kuiper (of speelt, als je in een duo of team werkt, samen met je teamgenoten de rol van "het architectuurteam"). Je moet een context-mappingbesluit opstellen en verdedigen waarin:</w:t>
      </w:r>
    </w:p>
    <w:p>
      <w:pPr>
        <w:pStyle w:val="ListParagraph"/>
        <w:numPr>
          <w:ilvl w:val="0"/>
          <w:numId w:val="1"/>
        </w:numPr>
        <w:spacing w:after="80"/>
      </w:pPr>
      <w:r>
        <w:rPr>
          <w:rFonts w:ascii="Calibri" w:cs="Calibri" w:eastAsia="Calibri" w:hAnsi="Calibri"/>
          <w:sz w:val="22"/>
          <w:szCs w:val="22"/>
        </w:rPr>
        <w:t xml:space="preserve">voor elk van de drie botsingspunten — waardeoverdracht, "partner," "deelnemer in opbouw" — een concrete richting wordt gekozen: shared kernel, anti-corruption layer, of tijdelijk conformist. Dit hoeft niet voor alle drie dezelfde richting te zijn; deel 27 liet al zien dat de richtingen zich per botsingspunt verschillend gedragen;</w:t>
      </w:r>
    </w:p>
    <w:p>
      <w:pPr>
        <w:pStyle w:val="ListParagraph"/>
        <w:numPr>
          <w:ilvl w:val="0"/>
          <w:numId w:val="1"/>
        </w:numPr>
        <w:spacing w:after="80"/>
      </w:pPr>
      <w:r>
        <w:rPr>
          <w:rFonts w:ascii="Calibri" w:cs="Calibri" w:eastAsia="Calibri" w:hAnsi="Calibri"/>
          <w:sz w:val="22"/>
          <w:szCs w:val="22"/>
        </w:rPr>
        <w:t xml:space="preserve">voor elke gekozen richting expliciet is aangegeven welk redelijk alternatief niet is gekozen en waarom niet — geen richting die alleen genoemd wordt om meteen te worden afgeserveerd;</w:t>
      </w:r>
    </w:p>
    <w:p>
      <w:pPr>
        <w:pStyle w:val="ListParagraph"/>
        <w:numPr>
          <w:ilvl w:val="0"/>
          <w:numId w:val="1"/>
        </w:numPr>
        <w:spacing w:after="80"/>
      </w:pPr>
      <w:r>
        <w:rPr>
          <w:rFonts w:ascii="Calibri" w:cs="Calibri" w:eastAsia="Calibri" w:hAnsi="Calibri"/>
          <w:sz w:val="22"/>
          <w:szCs w:val="22"/>
        </w:rPr>
        <w:t xml:space="preserve">met de oordeelstoets is aangewezen welk deel van het besluit een modelvraag is die jij als architect verdedigt, en welk deel een uitkomstvraag is die je, met naam en reden, overdraagt aan het bestuur, Thijs of Sigrid;</w:t>
      </w:r>
    </w:p>
    <w:p>
      <w:pPr>
        <w:pStyle w:val="ListParagraph"/>
        <w:numPr>
          <w:ilvl w:val="0"/>
          <w:numId w:val="1"/>
        </w:numPr>
        <w:spacing w:after="80"/>
      </w:pPr>
      <w:r>
        <w:rPr>
          <w:rFonts w:ascii="Calibri" w:cs="Calibri" w:eastAsia="Calibri" w:hAnsi="Calibri"/>
          <w:sz w:val="22"/>
          <w:szCs w:val="22"/>
        </w:rPr>
        <w:t xml:space="preserve">expliciet, en zonder het te verbloemen, is benoemd wat het besluit — voor elk botsingspunt — kost, en aan wie. Een besluit dat beweert dat niemand iets verliest, is bij dit dossier per definitie onvolledig.</w:t>
      </w:r>
    </w:p>
    <w:p>
      <w:pPr>
        <w:spacing w:after="140" w:line="300"/>
      </w:pPr>
      <w:r>
        <w:rPr>
          <w:rFonts w:ascii="Calibri" w:cs="Calibri" w:eastAsia="Calibri" w:hAnsi="Calibri"/>
          <w:b w:val="false"/>
          <w:bCs w:val="false"/>
          <w:i w:val="false"/>
          <w:iCs w:val="false"/>
          <w:sz w:val="22"/>
          <w:szCs w:val="22"/>
        </w:rPr>
        <w:t xml:space="preserve">Je hoeft niet voor volledige samenvoeging te kiezen. Je hoeft ook niet voor niets te kiezen. De opdracht vraagt om een verdedigbaar besluit — dat kan, per botsingspunt, "nu niet volledig samenvoegen" zijn, mits onderbouwd, of "wel samenvoegen, ondanks de kosten," mits eveneens onderbouwd. Wat de opdracht niet toestaat, is een besluit dat de botsing wegredeneert of de kosten verzwijgt.</w:t>
      </w:r>
    </w:p>
    <w:p>
      <w:pPr>
        <w:spacing w:after="140" w:line="300"/>
      </w:pPr>
      <w:r>
        <w:rPr>
          <w:rFonts w:ascii="Calibri" w:cs="Calibri" w:eastAsia="Calibri" w:hAnsi="Calibri"/>
          <w:b w:val="false"/>
          <w:bCs w:val="false"/>
          <w:i w:val="false"/>
          <w:iCs w:val="false"/>
          <w:sz w:val="22"/>
          <w:szCs w:val="22"/>
        </w:rPr>
        <w:t xml:space="preserve">Gebruik voor je uitwerking de richtingenkaart (deel 27) voor elk botsingspunt, de oordeelstoets (deel 28) voor de mandaatgrens, en de verdedigingskaart (deel 29) om je claim, je onderbouwing per alternatief, en je zwakste punt vooraf scherp te krijgen.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30.3 De vier rollen</w:t>
      </w:r>
    </w:p>
    <w:p>
      <w:pPr>
        <w:spacing w:after="140" w:line="300"/>
      </w:pPr>
      <w:r>
        <w:rPr>
          <w:rFonts w:ascii="Calibri" w:cs="Calibri" w:eastAsia="Calibri" w:hAnsi="Calibri"/>
          <w:b/>
          <w:bCs/>
          <w:i w:val="false"/>
          <w:iCs w:val="false"/>
          <w:sz w:val="22"/>
          <w:szCs w:val="22"/>
        </w:rPr>
        <w:t xml:space="preserve">Loes Verstappen</w:t>
      </w:r>
      <w:r>
        <w:rPr>
          <w:rFonts w:ascii="Calibri" w:cs="Calibri" w:eastAsia="Calibri" w:hAnsi="Calibri"/>
          <w:b w:val="false"/>
          <w:bCs w:val="false"/>
          <w:i w:val="false"/>
          <w:iCs w:val="false"/>
          <w:sz w:val="22"/>
          <w:szCs w:val="22"/>
        </w:rPr>
        <w:t xml:space="preserve"> — bestuurslid namens de voormalige Kustveer-deelnemers in het gecombineerde bestuur. Zij draagt de verantwoordelijkheid om, namens 14.000 mensen die niet zelf aan tafel zitten, te beoordelen of het besluit hun belangen eerlijk weegt. Haar vragen gaan zelden over patronen — ze gaan over wie er, concreet, iets verliest en of dat verlies eerlijk is uitgelegd.</w:t>
      </w:r>
    </w:p>
    <w:p>
      <w:pPr>
        <w:spacing w:after="140" w:line="300"/>
      </w:pPr>
      <w:r>
        <w:rPr>
          <w:rFonts w:ascii="Calibri" w:cs="Calibri" w:eastAsia="Calibri" w:hAnsi="Calibri"/>
          <w:b/>
          <w:bCs/>
          <w:i w:val="false"/>
          <w:iCs w:val="false"/>
          <w:sz w:val="22"/>
          <w:szCs w:val="22"/>
        </w:rPr>
        <w:t xml:space="preserve">Thijs Okkerse</w:t>
      </w:r>
      <w:r>
        <w:rPr>
          <w:rFonts w:ascii="Calibri" w:cs="Calibri" w:eastAsia="Calibri" w:hAnsi="Calibri"/>
          <w:b w:val="false"/>
          <w:bCs w:val="false"/>
          <w:i w:val="false"/>
          <w:iCs w:val="false"/>
          <w:sz w:val="22"/>
          <w:szCs w:val="22"/>
        </w:rPr>
        <w:t xml:space="preserve"> — actuaris. Heeft voor elk van de drie botsingspunten al een eerste doorrekening gemaakt (deel 27) en verwacht dat het besluit zijn cijfers weerspiegelt, niet negeert. Zijn vragen toetsen of de architecturale keuze en de financiële consequentie bij elkaar passen, en of "tijdelijk" in het besluit een concreet, toetsbaar vervolgmoment heeft of een loze belofte is.</w:t>
      </w:r>
    </w:p>
    <w:p>
      <w:pPr>
        <w:spacing w:after="140" w:line="300"/>
      </w:pPr>
      <w:r>
        <w:rPr>
          <w:rFonts w:ascii="Calibri" w:cs="Calibri" w:eastAsia="Calibri" w:hAnsi="Calibri"/>
          <w:b/>
          <w:bCs/>
          <w:i w:val="false"/>
          <w:iCs w:val="false"/>
          <w:sz w:val="22"/>
          <w:szCs w:val="22"/>
        </w:rPr>
        <w:t xml:space="preserve">Sigrid Palm</w:t>
      </w:r>
      <w:r>
        <w:rPr>
          <w:rFonts w:ascii="Calibri" w:cs="Calibri" w:eastAsia="Calibri" w:hAnsi="Calibri"/>
          <w:b w:val="false"/>
          <w:bCs w:val="false"/>
          <w:i w:val="false"/>
          <w:iCs w:val="false"/>
          <w:sz w:val="22"/>
          <w:szCs w:val="22"/>
        </w:rPr>
        <w:t xml:space="preserve"> — vertegenwoordiger van DNB. Haar taal is die van risico, verantwoording en aantoonbare datakwaliteit, niet die van architectuurpatronen. Ze beoordeelt niet of het besluit "mooi" is, maar of het, in het implementatieplan, aantoonbaar maakt dat de kwaliteit van de ingevaren Kustveer-populatie geborgd is — ongeacht welke richting is gekozen.</w:t>
      </w:r>
    </w:p>
    <w:p>
      <w:pPr>
        <w:spacing w:after="140" w:line="300"/>
      </w:pPr>
      <w:r>
        <w:rPr>
          <w:rFonts w:ascii="Calibri" w:cs="Calibri" w:eastAsia="Calibri" w:hAnsi="Calibri"/>
          <w:b/>
          <w:bCs/>
          <w:i w:val="false"/>
          <w:iCs w:val="false"/>
          <w:sz w:val="22"/>
          <w:szCs w:val="22"/>
        </w:rPr>
        <w:t xml:space="preserve">Youssef Aït Idar</w:t>
      </w:r>
      <w:r>
        <w:rPr>
          <w:rFonts w:ascii="Calibri" w:cs="Calibri" w:eastAsia="Calibri" w:hAnsi="Calibri"/>
          <w:b w:val="false"/>
          <w:bCs w:val="false"/>
          <w:i w:val="false"/>
          <w:iCs w:val="false"/>
          <w:sz w:val="22"/>
          <w:szCs w:val="22"/>
        </w:rPr>
        <w:t xml:space="preserve"> — architect van Pensioenfonds Kustveer. Niet vijandig, wel scherp beschermend: veertien jaar zorgvuldig opgebouwde uitzonderingen in het Kustveer-model zijn voor hem geen ruis die verdwijnt zodra iemand "de standaard" toepast. Zijn terugkerende vraag: welk probleem van Kustveer lost dit besluit op, voordat er wordt uitgelegd welk probleem van Kustveer het veroorzaakt.</w:t>
      </w:r>
    </w:p>
    <w:p>
      <w:pPr>
        <w:spacing w:after="140" w:line="300"/>
      </w:pPr>
      <w:r>
        <w:rPr>
          <w:rFonts w:ascii="Calibri" w:cs="Calibri" w:eastAsia="Calibri" w:hAnsi="Calibri"/>
          <w:b w:val="false"/>
          <w:bCs w:val="false"/>
          <w:i w:val="false"/>
          <w:iCs w:val="false"/>
          <w:sz w:val="22"/>
          <w:szCs w:val="22"/>
        </w:rPr>
        <w:t xml:space="preserve">Daan (en, bij teamwerk, het hele architectuurteam) verdedigt het besluit. Er is geen vijfde, neutrale rol die namens de kandidaat spreekt — dat is met opzet: in de echte kamer van deel 27 en 28 was Foppe er ook niet om namens Daan te antwoorden.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30.4 Spelregels van de simulatie</w:t>
      </w:r>
    </w:p>
    <w:p>
      <w:pPr>
        <w:spacing w:after="140" w:line="300"/>
      </w:pPr>
      <w:r>
        <w:rPr>
          <w:rFonts w:ascii="Calibri" w:cs="Calibri" w:eastAsia="Calibri" w:hAnsi="Calibri"/>
          <w:b/>
          <w:bCs/>
          <w:i w:val="false"/>
          <w:iCs w:val="false"/>
          <w:sz w:val="22"/>
          <w:szCs w:val="22"/>
        </w:rPr>
        <w:t xml:space="preserve">Vragen half vooraf gedeeld, half onvoorzien.</w:t>
      </w:r>
      <w:r>
        <w:rPr>
          <w:rFonts w:ascii="Calibri" w:cs="Calibri" w:eastAsia="Calibri" w:hAnsi="Calibri"/>
          <w:b w:val="false"/>
          <w:bCs w:val="false"/>
          <w:i w:val="false"/>
          <w:iCs w:val="false"/>
          <w:sz w:val="22"/>
          <w:szCs w:val="22"/>
        </w:rPr>
        <w:t xml:space="preserve"> In lijn met het familiemodel ontvang je, ruim vóór de verdediging, van elk van de vier rollen een deel van de vragen die zij zullen stellen. Dat is geen versimpeling — het is precies hoe een echte bestuurlijke verantwoording werkt: sommige vragen zijn voorspelbaar en verdienen een grondig voorbereid antwoord; andere komen ter plekke en testen of je positie ook zonder voorbereide tekst standhoudt. De vooraf gedeelde vragen staan in het werkboek, per rol. De onvoorziene vragen ontvang je pas tijdens de verdediging zelf, van de docent of de rolspeler.</w:t>
      </w:r>
    </w:p>
    <w:p>
      <w:pPr>
        <w:spacing w:after="140" w:line="300"/>
      </w:pPr>
      <w:r>
        <w:rPr>
          <w:rFonts w:ascii="Calibri" w:cs="Calibri" w:eastAsia="Calibri" w:hAnsi="Calibri"/>
          <w:b/>
          <w:bCs/>
          <w:i w:val="false"/>
          <w:iCs w:val="false"/>
          <w:sz w:val="22"/>
          <w:szCs w:val="22"/>
        </w:rPr>
        <w:t xml:space="preserve">Volgorde van de verdediging.</w:t>
      </w:r>
      <w:r>
        <w:rPr>
          <w:rFonts w:ascii="Calibri" w:cs="Calibri" w:eastAsia="Calibri" w:hAnsi="Calibri"/>
          <w:b w:val="false"/>
          <w:bCs w:val="false"/>
          <w:i w:val="false"/>
          <w:iCs w:val="false"/>
          <w:sz w:val="22"/>
          <w:szCs w:val="22"/>
        </w:rPr>
        <w:t xml:space="preserve"> Je opent zelf, met je claim: het besluit in twee tot drie zinnen per botsingspunt, zoals de verdedigingskaart uit deel 29 voorschrijft. Daarna volgt bevraging door de vier rollen, in willekeurige volgorde — de rollen wisselen elkaar af, precies zoals een echte bordvergadering niet netjes langs vaste beurten verloopt.</w:t>
      </w:r>
    </w:p>
    <w:p>
      <w:pPr>
        <w:spacing w:after="140" w:line="300"/>
      </w:pPr>
      <w:r>
        <w:rPr>
          <w:rFonts w:ascii="Calibri" w:cs="Calibri" w:eastAsia="Calibri" w:hAnsi="Calibri"/>
          <w:b/>
          <w:bCs/>
          <w:i w:val="false"/>
          <w:iCs w:val="false"/>
          <w:sz w:val="22"/>
          <w:szCs w:val="22"/>
        </w:rPr>
        <w:t xml:space="preserve">Tijd.</w:t>
      </w:r>
      <w:r>
        <w:rPr>
          <w:rFonts w:ascii="Calibri" w:cs="Calibri" w:eastAsia="Calibri" w:hAnsi="Calibri"/>
          <w:b w:val="false"/>
          <w:bCs w:val="false"/>
          <w:i w:val="false"/>
          <w:iCs w:val="false"/>
          <w:sz w:val="22"/>
          <w:szCs w:val="22"/>
        </w:rPr>
        <w:t xml:space="preserve"> Reken op twintig tot dertig minuten verdediging per duo of team, inclusief mondelinge terugkoppeling — het exacte tijdschema staat in de docentenhandleiding.</w:t>
      </w:r>
    </w:p>
    <w:p>
      <w:pPr>
        <w:spacing w:after="140" w:line="300"/>
      </w:pPr>
      <w:r>
        <w:rPr>
          <w:rFonts w:ascii="Calibri" w:cs="Calibri" w:eastAsia="Calibri" w:hAnsi="Calibri"/>
          <w:b/>
          <w:bCs/>
          <w:i w:val="false"/>
          <w:iCs w:val="false"/>
          <w:sz w:val="22"/>
          <w:szCs w:val="22"/>
        </w:rPr>
        <w:t xml:space="preserve">Wat wel en niet wordt beoordeeld.</w:t>
      </w:r>
      <w:r>
        <w:rPr>
          <w:rFonts w:ascii="Calibri" w:cs="Calibri" w:eastAsia="Calibri" w:hAnsi="Calibri"/>
          <w:b w:val="false"/>
          <w:bCs w:val="false"/>
          <w:i w:val="false"/>
          <w:iCs w:val="false"/>
          <w:sz w:val="22"/>
          <w:szCs w:val="22"/>
        </w:rPr>
        <w:t xml:space="preserve"> De inhoud van het gekozen besluit zelf wordt niet becijferd op "juistheid" — er is, zoals deel 27 al liet zien, geen enkelvoudig juist antwoord op een botsing tussen twee interne, elk consistente modellen. Beoordeeld wordt de kwaliteit van de onderbouwing, de eerlijkheid over de kosten, de scherpte van de mandaatgrens, en de standvastigheid onder bevraging. Zie §30.5.</w:t>
      </w:r>
    </w:p>
    <w:p>
      <w:pPr>
        <w:spacing w:after="140" w:line="300"/>
      </w:pPr>
      <w:r>
        <w:rPr>
          <w:rFonts w:ascii="Calibri" w:cs="Calibri" w:eastAsia="Calibri" w:hAnsi="Calibri"/>
          <w:b/>
          <w:bCs/>
          <w:i w:val="false"/>
          <w:iCs w:val="false"/>
          <w:sz w:val="22"/>
          <w:szCs w:val="22"/>
        </w:rPr>
        <w:t xml:space="preserve">Uit de rol.</w:t>
      </w:r>
      <w:r>
        <w:rPr>
          <w:rFonts w:ascii="Calibri" w:cs="Calibri" w:eastAsia="Calibri" w:hAnsi="Calibri"/>
          <w:b w:val="false"/>
          <w:bCs w:val="false"/>
          <w:i w:val="false"/>
          <w:iCs w:val="false"/>
          <w:sz w:val="22"/>
          <w:szCs w:val="22"/>
        </w:rPr>
        <w:t xml:space="preserve"> Na elke verdediging stappen de vier rolspelers uitdrukkelijk uit hun rol voor de mondelinge terugkoppeling. De kritische bevraging tijdens de verdediging en de persoonlijke feedback erna zijn twee verschillende momenten — verwar ze niet met elkaar, en verwacht niet dat scherpte tijdens de verdediging een oordeel is over jou persoonlijk.</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30.5 Wat er precies verdedigd moet worden</w:t>
      </w:r>
    </w:p>
    <w:p>
      <w:pPr>
        <w:spacing w:after="140" w:line="300"/>
      </w:pPr>
      <w:r>
        <w:rPr>
          <w:rFonts w:ascii="Calibri" w:cs="Calibri" w:eastAsia="Calibri" w:hAnsi="Calibri"/>
          <w:b w:val="false"/>
          <w:bCs w:val="false"/>
          <w:i w:val="false"/>
          <w:iCs w:val="false"/>
          <w:sz w:val="22"/>
          <w:szCs w:val="22"/>
        </w:rPr>
        <w:t xml:space="preserve">Drie dingen, in deze volgorde, en dat is niet toevallig — het is de volgorde waarin de rubric (uitgewerkt in de docentenhandleiding) het besluit beoordeelt:</w:t>
      </w:r>
    </w:p>
    <w:p>
      <w:pPr>
        <w:pStyle w:val="ListParagraph"/>
        <w:numPr>
          <w:ilvl w:val="0"/>
          <w:numId w:val="1"/>
        </w:numPr>
        <w:spacing w:after="80"/>
      </w:pPr>
      <w:r>
        <w:rPr>
          <w:rFonts w:ascii="Calibri" w:cs="Calibri" w:eastAsia="Calibri" w:hAnsi="Calibri"/>
          <w:sz w:val="22"/>
          <w:szCs w:val="22"/>
        </w:rPr>
        <w:t xml:space="preserve">**De richting per botsingspunt, met een serieus overwogen alternatief.** Voor waardeoverdracht, "partner" en "deelnemer in opbouw" elk een gekozen richting, met een onderbouwing die uitlegt waarom de andere twee richtingen niet zijn gekozen — niet met één zin, maar met een argument dat standhoudt onder een doorvraag.</w:t>
      </w:r>
    </w:p>
    <w:p>
      <w:pPr>
        <w:pStyle w:val="ListParagraph"/>
        <w:numPr>
          <w:ilvl w:val="0"/>
          <w:numId w:val="1"/>
        </w:numPr>
        <w:spacing w:after="80"/>
      </w:pPr>
      <w:r>
        <w:rPr>
          <w:rFonts w:ascii="Calibri" w:cs="Calibri" w:eastAsia="Calibri" w:hAnsi="Calibri"/>
          <w:sz w:val="22"/>
          <w:szCs w:val="22"/>
        </w:rPr>
        <w:t xml:space="preserve">**De mandaatgrens.** Welk deel van elk besluit is een modelvraag die jij als architect draagt, en welk deel is een uitkomstvraag die je expliciet overdraagt — met naam, aan Loes, Thijs of Sigrid, zoals deel 28 leerde. Een besluit dat deze twee soorten vragen laat samenvallen zonder het te benoemen, oogt voller dan het is.</w:t>
      </w:r>
    </w:p>
    <w:p>
      <w:pPr>
        <w:pStyle w:val="ListParagraph"/>
        <w:numPr>
          <w:ilvl w:val="0"/>
          <w:numId w:val="1"/>
        </w:numPr>
        <w:spacing w:after="80"/>
      </w:pPr>
      <w:r>
        <w:rPr>
          <w:rFonts w:ascii="Calibri" w:cs="Calibri" w:eastAsia="Calibri" w:hAnsi="Calibri"/>
          <w:sz w:val="22"/>
          <w:szCs w:val="22"/>
        </w:rPr>
        <w:t xml:space="preserve">**De prijs, eerlijk benoemd.** Wie wint, wie verliest, is dat tijdelijk of structureel, en — waar van toepassing — wat het concrete vervolgmoment is voor wie nu "tijdelijk" iets inlevert.</w:t>
      </w:r>
    </w:p>
    <w:p>
      <w:pPr>
        <w:spacing w:after="140" w:line="300"/>
      </w:pPr>
      <w:r>
        <w:rPr>
          <w:rFonts w:ascii="Calibri" w:cs="Calibri" w:eastAsia="Calibri" w:hAnsi="Calibri"/>
          <w:b w:val="false"/>
          <w:bCs w:val="false"/>
          <w:i w:val="false"/>
          <w:iCs w:val="false"/>
          <w:sz w:val="22"/>
          <w:szCs w:val="22"/>
        </w:rPr>
        <w:t xml:space="preserve">Wat hier nadrukkelijk niet gevraagd wordt, is een besluit dat alle drie botsingspunten oplost zonder dat iemand iets inlevert. Dat bestaat, gegeven het dossier, niet. Een verdediging die daar toch naar zoekt — "we vinden vast een oplossing waar niemand op achteruitgaat" — is precies het "ja, alles" dat de rubric lager waardeert dan een scherp onderbouwd "nee, dit niet, en hier is waarom."</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30.6 Vorm: dagdeel A en dagdeel B</w:t>
      </w:r>
    </w:p>
    <w:p>
      <w:pPr>
        <w:spacing w:after="140" w:line="300"/>
      </w:pPr>
      <w:r>
        <w:rPr>
          <w:rFonts w:ascii="Calibri" w:cs="Calibri" w:eastAsia="Calibri" w:hAnsi="Calibri"/>
          <w:b/>
          <w:bCs/>
          <w:i w:val="false"/>
          <w:iCs w:val="false"/>
          <w:sz w:val="22"/>
          <w:szCs w:val="22"/>
        </w:rPr>
        <w:t xml:space="preserve">Dagdeel A — voorbereiding en uitwerking.</w:t>
      </w:r>
      <w:r>
        <w:rPr>
          <w:rFonts w:ascii="Calibri" w:cs="Calibri" w:eastAsia="Calibri" w:hAnsi="Calibri"/>
          <w:b w:val="false"/>
          <w:bCs w:val="false"/>
          <w:i w:val="false"/>
          <w:iCs w:val="false"/>
          <w:sz w:val="22"/>
          <w:szCs w:val="22"/>
        </w:rPr>
        <w:t xml:space="preserve"> Individueel of in vast team werk je, met het volledige Kustveer-dossier en de instrumenten uit deel 27-29 bij de hand, het context-mappingbesluit uit. Je krijgt de vooraf gedeelde vragen van de vier rollen aan het begin van dit dagdeel, zodat je uitwerking er rekening mee kan houden. Dagdeel A sluit af met een onderlinge peer review langs de rubric — niet met de rolspelers, maar met andere deelnemers.</w:t>
      </w:r>
    </w:p>
    <w:p>
      <w:pPr>
        <w:spacing w:after="140" w:line="300"/>
      </w:pPr>
      <w:r>
        <w:rPr>
          <w:rFonts w:ascii="Calibri" w:cs="Calibri" w:eastAsia="Calibri" w:hAnsi="Calibri"/>
          <w:b/>
          <w:bCs/>
          <w:i w:val="false"/>
          <w:iCs w:val="false"/>
          <w:sz w:val="22"/>
          <w:szCs w:val="22"/>
        </w:rPr>
        <w:t xml:space="preserve">Dagdeel B — de boardsimulatie.</w:t>
      </w:r>
      <w:r>
        <w:rPr>
          <w:rFonts w:ascii="Calibri" w:cs="Calibri" w:eastAsia="Calibri" w:hAnsi="Calibri"/>
          <w:b w:val="false"/>
          <w:bCs w:val="false"/>
          <w:i w:val="false"/>
          <w:iCs w:val="false"/>
          <w:sz w:val="22"/>
          <w:szCs w:val="22"/>
        </w:rPr>
        <w:t xml:space="preserve"> De daadwerkelijke verdediging, duo of team voor duo of team, voor de vier rolspelers. Elke verdediging wordt direct gevolgd door een mondelinge terugkoppeling langs de rubric. Dagdeel B sluit af met een korte, persoonlijke slotopdracht en de afsluiting van de hele cursus.</w:t>
      </w:r>
    </w:p>
    <w:p>
      <w:pPr>
        <w:spacing w:after="140" w:line="300"/>
      </w:pPr>
      <w:r>
        <w:rPr>
          <w:rFonts w:ascii="Calibri" w:cs="Calibri" w:eastAsia="Calibri" w:hAnsi="Calibri"/>
          <w:b w:val="false"/>
          <w:bCs w:val="false"/>
          <w:i w:val="false"/>
          <w:iCs w:val="false"/>
          <w:sz w:val="22"/>
          <w:szCs w:val="22"/>
        </w:rPr>
        <w:t xml:space="preserve">De volledige tijdschema's staan in de docentenhandleiding. Het werkboek bevat de voorbereidingsopdrachten, de rolkaarten en de vooraf gedeelde vragen.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30.7 Terugblik: de boog van dertig delen</w:t>
      </w:r>
    </w:p>
    <w:p>
      <w:pPr>
        <w:spacing w:after="140" w:line="300"/>
      </w:pPr>
      <w:r>
        <w:rPr>
          <w:rFonts w:ascii="Calibri" w:cs="Calibri" w:eastAsia="Calibri" w:hAnsi="Calibri"/>
          <w:b w:val="false"/>
          <w:bCs w:val="false"/>
          <w:i w:val="false"/>
          <w:iCs w:val="false"/>
          <w:sz w:val="22"/>
          <w:szCs w:val="22"/>
        </w:rPr>
        <w:t xml:space="preserve">Deel 1 van deze cursus opende met de complexiteitstoets: is dit ene domeinonderdeel van het Nabestaandenloket — het vaststellen van recht op partnerpensioen, tegenover het bijwerken van een adres — complex genoeg om de investering van DDD te rechtvaardigen? Dat was een vraag op de kleinst denkbare schaal, gesteld door een developer die net het domein binnenkwam.</w:t>
      </w:r>
    </w:p>
    <w:p>
      <w:pPr>
        <w:spacing w:after="140" w:line="300"/>
      </w:pPr>
      <w:r>
        <w:rPr>
          <w:rFonts w:ascii="Calibri" w:cs="Calibri" w:eastAsia="Calibri" w:hAnsi="Calibri"/>
          <w:b w:val="false"/>
          <w:bCs w:val="false"/>
          <w:i w:val="false"/>
          <w:iCs w:val="false"/>
          <w:sz w:val="22"/>
          <w:szCs w:val="22"/>
        </w:rPr>
        <w:t xml:space="preserve">Deel 28 stelde, negenentwintig delen later, dezelfde vraag op de grootst denkbare schaal: is de hele fusieopgave tussen Meridiaan en Kustveer eigenlijk wel, of geheel, een modelleervraagstuk — of verhult de taal van patronen een besluit dat aan iemand anders toebehoort? Het antwoord was hetzelfde soort antwoord als in deel 1: niet "ja, overal" en niet "nee, nergens", maar een scherp onderscheid tussen het deel dat het instrument wél draagt en het deel dat het niet draagt.</w:t>
      </w:r>
    </w:p>
    <w:p>
      <w:pPr>
        <w:spacing w:after="140" w:line="300"/>
      </w:pPr>
      <w:r>
        <w:rPr>
          <w:rFonts w:ascii="Calibri" w:cs="Calibri" w:eastAsia="Calibri" w:hAnsi="Calibri"/>
          <w:b w:val="false"/>
          <w:bCs w:val="false"/>
          <w:i w:val="false"/>
          <w:iCs w:val="false"/>
          <w:sz w:val="22"/>
          <w:szCs w:val="22"/>
        </w:rPr>
        <w:t xml:space="preserve">Dit deel, de masterproef, is waar dat onderscheid voor het eerst niet alleen wordt uitgesproken, maar verdedigd — tegenover mensen die geen reden hebben om het cadeau te doen. Dezelfde complexiteitstoets, dezelfde discipline om precies te zijn over wat een grens wel en niet oplost, nu toegepast op de vraag of twee fondsen, met elk hun eigen veertien jaar geschiedenis, wel of niet één model moeten worden. Het instrument is niet gegroeid in complexiteit tussen deel 1 en deel 30 — de schaal waarop het wordt toegepast, wel. Dat is, in het klein, precies wat DDD zelf beweert: dat dezelfde discipline die op één subdomein werkt, ook op een heel landschap werkt, en, zoals dit deel laat zien, ook op de grens tussen twee organisaties.</w:t>
      </w:r>
    </w:p>
    <w:p>
      <w:pPr>
        <w:spacing w:after="140" w:line="300"/>
      </w:pPr>
      <w:r>
        <w:rPr>
          <w:rFonts w:ascii="Calibri" w:cs="Calibri" w:eastAsia="Calibri" w:hAnsi="Calibri"/>
          <w:b w:val="false"/>
          <w:bCs w:val="false"/>
          <w:i w:val="false"/>
          <w:iCs w:val="false"/>
          <w:sz w:val="22"/>
          <w:szCs w:val="22"/>
        </w:rPr>
        <w:t xml:space="preserve">Na dit deel volgt geen nieuw deel. Wat volgt, is het werk zelf.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2026-08-16T19:19:16.687Z</dcterms:created>
  <dcterms:modified xsi:type="dcterms:W3CDTF">2026-08-16T19:19:16.687Z</dcterms:modified>
</cp:coreProperties>
</file>

<file path=docProps/custom.xml><?xml version="1.0" encoding="utf-8"?>
<Properties xmlns="http://schemas.openxmlformats.org/officeDocument/2006/custom-properties" xmlns:vt="http://schemas.openxmlformats.org/officeDocument/2006/docPropsVTypes"/>
</file>