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1 — De SAP-wereld in vogelvlucht</w:t>
      </w:r>
    </w:p>
    <w:p>
      <w:pPr>
        <w:spacing w:after="300"/>
      </w:pPr>
      <w:r>
        <w:rPr>
          <w:rFonts w:ascii="Calibri" w:cs="Calibri" w:eastAsia="Calibri" w:hAnsi="Calibri"/>
          <w:i/>
          <w:iCs/>
          <w:color w:val="2C5AA0"/>
          <w:sz w:val="22"/>
          <w:szCs w:val="22"/>
        </w:rPr>
        <w:t xml:space="preserve">Docentenhandleiding · Niveau 1 Fundamenten · Cursus SAP voor Business Analysts · Ductus</w:t>
      </w:r>
    </w:p>
    <w:p>
      <w:pPr>
        <w:pStyle w:val="Heading2"/>
        <w:spacing w:after="120" w:before="200"/>
      </w:pPr>
      <w:r>
        <w:rPr>
          <w:rFonts w:ascii="Georgia" w:cs="Georgia" w:eastAsia="Georgia" w:hAnsi="Georgia"/>
          <w:b/>
          <w:bCs/>
          <w:color w:val="2C5AA0"/>
          <w:sz w:val="28"/>
          <w:szCs w:val="28"/>
        </w:rPr>
        <w:t xml:space="preserve">1. Bedoeling van dit deel</w:t>
      </w:r>
    </w:p>
    <w:p>
      <w:pPr>
        <w:spacing w:after="140" w:line="300"/>
      </w:pPr>
      <w:r>
        <w:rPr>
          <w:rFonts w:ascii="Calibri" w:cs="Calibri" w:eastAsia="Calibri" w:hAnsi="Calibri"/>
          <w:sz w:val="22"/>
          <w:szCs w:val="22"/>
        </w:rPr>
        <w:t xml:space="preserve">Dit is het openingsdeel. Inhoudelijk is er weinig moeilijks in — een globale kaart van het modulelandschap, het ECC/S/4HANA-onderscheid, een rolafbakening. De werkelijke opdracht is een mentale kaart neerzetten die de rest van de cursus gebruikt: waar iets in het landschap zit, bepaalt of het een concept is (blijft, ook bij systeemwissel) of een implementatiedetail (verifieer altijd).</w:t>
      </w:r>
    </w:p>
    <w:p>
      <w:pPr>
        <w:spacing w:after="140" w:line="300"/>
      </w:pPr>
      <w:r>
        <w:rPr>
          <w:rFonts w:ascii="Calibri" w:cs="Calibri" w:eastAsia="Calibri" w:hAnsi="Calibri"/>
          <w:sz w:val="22"/>
          <w:szCs w:val="22"/>
        </w:rPr>
        <w:t xml:space="preserve">Deze cursus heeft, anders dan de zustercursus Testen en Kwaliteitsborging, geen extern examenanker. Verwacht dus geen deelnemersvraag "komt dit op het examen" — de motivatie moet volledig komen uit direct toepasbare bekwaamheid. Maak dat in de opening expliciet, zodat er geen verwarring ontstaat.</w:t>
      </w:r>
    </w:p>
    <w:p>
      <w:pPr>
        <w:spacing w:after="140" w:line="300"/>
      </w:pPr>
      <w:r>
        <w:rPr>
          <w:rFonts w:ascii="Calibri" w:cs="Calibri" w:eastAsia="Calibri" w:hAnsi="Calibri"/>
          <w:sz w:val="22"/>
          <w:szCs w:val="22"/>
        </w:rPr>
        <w:t xml:space="preserve">Als deelnemers na dit dagdeel één zin onthouden, is het deze: het domein kennen en het systeem kunnen lezen zijn twee aparte vaardigheden, en deze cursus leert de tweede aan wie de eerste al heeft.</w:t>
      </w:r>
    </w:p>
    <w:p>
      <w:pPr>
        <w:pStyle w:val="Heading2"/>
        <w:spacing w:after="120" w:before="200"/>
      </w:pPr>
      <w:r>
        <w:rPr>
          <w:rFonts w:ascii="Georgia" w:cs="Georgia" w:eastAsia="Georgia" w:hAnsi="Georgia"/>
          <w:b/>
          <w:bCs/>
          <w:color w:val="2C5AA0"/>
          <w:sz w:val="28"/>
          <w:szCs w:val="28"/>
        </w:rPr>
        <w:t xml:space="preserve">2. Programma dagdeel (3 uur, inclusief twee pauzes)</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Welkom, cursusopbouw, drie niveaus, géén extern examen — wel een eigen bekwaamheidslijn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Sannes openingsvraag introduceren (reader §1), nog zonder oplossing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 verhalend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0:30–0:50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1.1 de laag herkennen, plenair nabespreken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0:50–1:00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1:00–1:20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Modulelandschap (reader §3)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1:20–1:40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1.2 concept of implementatiedetail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tweetallen +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1:40–1:55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ECC vs. S/4HANA en de disclaimer-methode (reader §4)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1:55–2:05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2:05–2:25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Rolafbakening BA/consultant/ontwikkelaar (reader §5)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2:25–2:45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1.3 wiens vraag is dit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tweetallen +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2:45–3:00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1.6 terug naar de twaalf varianten, afsluiting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groepjes + plenair</w:t>
            </w:r>
          </w:p>
        </w:tc>
      </w:tr>
    </w:tbl>
    <w:p>
      <w:pPr>
        <w:spacing w:after="140" w:line="300"/>
      </w:pPr>
      <w:r>
        <w:rPr>
          <w:rFonts w:ascii="Calibri" w:cs="Calibri" w:eastAsia="Calibri" w:hAnsi="Calibri"/>
          <w:sz w:val="22"/>
          <w:szCs w:val="22"/>
        </w:rPr>
        <w:t xml:space="preserve">Opdracht 1.4 en 1.5 zijn huiswerk; 1.5 is optioneel (reflectie), 1.4 wordt kort in deel 2 opgehaald.</w:t>
      </w:r>
    </w:p>
    <w:p>
      <w:pPr>
        <w:pStyle w:val="Heading2"/>
        <w:spacing w:after="120" w:before="200"/>
      </w:pPr>
      <w:r>
        <w:rPr>
          <w:rFonts w:ascii="Georgia" w:cs="Georgia" w:eastAsia="Georgia" w:hAnsi="Georgia"/>
          <w:b/>
          <w:bCs/>
          <w:color w:val="2C5AA0"/>
          <w:sz w:val="28"/>
          <w:szCs w:val="28"/>
        </w:rPr>
        <w:t xml:space="preserve">3. Aandachtspunten per onderdeel</w:t>
      </w:r>
    </w:p>
    <w:p>
      <w:pPr>
        <w:pStyle w:val="Heading3"/>
        <w:spacing w:after="100" w:before="160"/>
      </w:pPr>
      <w:r>
        <w:rPr>
          <w:rFonts w:ascii="Georgia" w:cs="Georgia" w:eastAsia="Georgia" w:hAnsi="Georgia"/>
          <w:b/>
          <w:bCs/>
          <w:color w:val="1B2A4A"/>
          <w:sz w:val="24"/>
          <w:szCs w:val="24"/>
        </w:rPr>
        <w:t xml:space="preserve">Sannes openingsvraag (0:15)</w:t>
      </w:r>
    </w:p>
    <w:p>
      <w:pPr>
        <w:spacing w:after="140" w:line="300"/>
      </w:pPr>
      <w:r>
        <w:rPr>
          <w:rFonts w:ascii="Calibri" w:cs="Calibri" w:eastAsia="Calibri" w:hAnsi="Calibri"/>
          <w:sz w:val="22"/>
          <w:szCs w:val="22"/>
        </w:rPr>
        <w:t xml:space="preserve">Vertel het verhaal zonder meteen de clou ("zij kan de vraag niet beantwoorden, niet door gebrek aan domeinkennis maar door gebrek aan systeemkennis") weg te geven. Laat de groep eerst zelf gissen: waarom zou een ervaren BA deze vraag niet kunnen beantwoorden? De meest voorkomende foute aanname is "omdat ze het domein niet goed genoeg kent" — corrigeer dat expliciet, want het is precies de omkering die dit deel wil aanleren.</w:t>
      </w:r>
    </w:p>
    <w:p>
      <w:pPr>
        <w:pStyle w:val="Heading3"/>
        <w:spacing w:after="100" w:before="160"/>
      </w:pPr>
      <w:r>
        <w:rPr>
          <w:rFonts w:ascii="Georgia" w:cs="Georgia" w:eastAsia="Georgia" w:hAnsi="Georgia"/>
          <w:b/>
          <w:bCs/>
          <w:color w:val="1B2A4A"/>
          <w:sz w:val="24"/>
          <w:szCs w:val="24"/>
        </w:rPr>
        <w:t xml:space="preserve">Opdracht 1.1 (0:30)</w:t>
      </w:r>
    </w:p>
    <w:p>
      <w:pPr>
        <w:spacing w:after="140" w:line="300"/>
      </w:pPr>
      <w:r>
        <w:rPr>
          <w:rFonts w:ascii="Calibri" w:cs="Calibri" w:eastAsia="Calibri" w:hAnsi="Calibri"/>
          <w:sz w:val="22"/>
          <w:szCs w:val="22"/>
        </w:rPr>
        <w:t xml:space="preserve">De valkuil hier is dat deelnemers de kaart (FI/CO onderin, FS-CD erboven, FS-PM/FS-CM aan de top) als arbitrair ervaren — "waarom zou ik dit onthouden?" Leg de nadruk niet op de namen maar op de vorm: generiek-onderin, sectorspecifiek-erboven, organisatiespecifiek-aan-de-top. Die vorm keert in vrijwel elk enterprise-systeem terug en is de eigenlijke leerwinst, niet de vier afkortingen zelf.</w:t>
      </w:r>
    </w:p>
    <w:p>
      <w:pPr>
        <w:pStyle w:val="Heading3"/>
        <w:spacing w:after="100" w:before="160"/>
      </w:pPr>
      <w:r>
        <w:rPr>
          <w:rFonts w:ascii="Georgia" w:cs="Georgia" w:eastAsia="Georgia" w:hAnsi="Georgia"/>
          <w:b/>
          <w:bCs/>
          <w:color w:val="1B2A4A"/>
          <w:sz w:val="24"/>
          <w:szCs w:val="24"/>
        </w:rPr>
        <w:t xml:space="preserve">Modulelandschap (1:00)</w:t>
      </w:r>
    </w:p>
    <w:p>
      <w:pPr>
        <w:spacing w:after="140" w:line="300"/>
      </w:pPr>
      <w:r>
        <w:rPr>
          <w:rFonts w:ascii="Calibri" w:cs="Calibri" w:eastAsia="Calibri" w:hAnsi="Calibri"/>
          <w:sz w:val="22"/>
          <w:szCs w:val="22"/>
        </w:rPr>
        <w:t xml:space="preserve">Ga hier niet in te veel detail — dit is een vogelvluchtdeel, geen configuratiecollege. Deelnemers met voorkennis (bijvoorbeeld al ervaring met ERP-systemen buiten SAP) willen soms doorvragen op techniek; verwijs kort naar de latere delen (11-12 voor FS-PM, 13-14 voor FS-CM, 15 voor de financiële laag) en houd het tempo.</w:t>
      </w:r>
    </w:p>
    <w:p>
      <w:pPr>
        <w:pStyle w:val="Heading3"/>
        <w:spacing w:after="100" w:before="160"/>
      </w:pPr>
      <w:r>
        <w:rPr>
          <w:rFonts w:ascii="Georgia" w:cs="Georgia" w:eastAsia="Georgia" w:hAnsi="Georgia"/>
          <w:b/>
          <w:bCs/>
          <w:color w:val="1B2A4A"/>
          <w:sz w:val="24"/>
          <w:szCs w:val="24"/>
        </w:rPr>
        <w:t xml:space="preserve">ECC vs. S/4HANA en de disclaimer (1:40)</w:t>
      </w:r>
    </w:p>
    <w:p>
      <w:pPr>
        <w:spacing w:after="140" w:line="300"/>
      </w:pPr>
      <w:r>
        <w:rPr>
          <w:rFonts w:ascii="Calibri" w:cs="Calibri" w:eastAsia="Calibri" w:hAnsi="Calibri"/>
          <w:sz w:val="22"/>
          <w:szCs w:val="22"/>
        </w:rPr>
        <w:t xml:space="preserve">Dit is het belangrijkste methodische moment van het hele deel, en het komt terug in elk volgend deel. Wees hier expliciet en traag: laat de groep zelf drie voorbeelden bedenken van iets dat een concept is en drie van iets dat een implementatiedetail is, vóórdat je opdracht 1.2 uitdeelt. Wie dit onderscheid in deel 1 niet stevig te pakken heeft, blijft er de rest van de cursus mee worstelen.</w:t>
      </w:r>
    </w:p>
    <w:p>
      <w:pPr>
        <w:pStyle w:val="Heading3"/>
        <w:spacing w:after="100" w:before="160"/>
      </w:pPr>
      <w:r>
        <w:rPr>
          <w:rFonts w:ascii="Georgia" w:cs="Georgia" w:eastAsia="Georgia" w:hAnsi="Georgia"/>
          <w:b/>
          <w:bCs/>
          <w:color w:val="1B2A4A"/>
          <w:sz w:val="24"/>
          <w:szCs w:val="24"/>
        </w:rPr>
        <w:t xml:space="preserve">Rolafbakening (2:05)</w:t>
      </w:r>
    </w:p>
    <w:p>
      <w:pPr>
        <w:spacing w:after="140" w:line="300"/>
      </w:pPr>
      <w:r>
        <w:rPr>
          <w:rFonts w:ascii="Calibri" w:cs="Calibri" w:eastAsia="Calibri" w:hAnsi="Calibri"/>
          <w:sz w:val="22"/>
          <w:szCs w:val="22"/>
        </w:rPr>
        <w:t xml:space="preserve">Reken op de vraag "maar in de praktijk doet één persoon vaak alle drie de rollen, zeker bij een kleinere organisatie". Erken dat volmondig — de rolafbakening is analytisch, geen organogram-eis. Ook wanneer één persoon alle drie de petten draagt, blijft het onderscheid nuttig: het helpt vaststellen welke pet je op dat moment op hebt, en welke vraag daarbij hoort.</w:t>
      </w:r>
    </w:p>
    <w:p>
      <w:pPr>
        <w:pStyle w:val="Heading3"/>
        <w:spacing w:after="100" w:before="160"/>
      </w:pPr>
      <w:r>
        <w:rPr>
          <w:rFonts w:ascii="Georgia" w:cs="Georgia" w:eastAsia="Georgia" w:hAnsi="Georgia"/>
          <w:b/>
          <w:bCs/>
          <w:color w:val="1B2A4A"/>
          <w:sz w:val="24"/>
          <w:szCs w:val="24"/>
        </w:rPr>
        <w:t xml:space="preserve">Opdracht 1.3 (2:25)</w:t>
      </w:r>
    </w:p>
    <w:p>
      <w:pPr>
        <w:spacing w:after="140" w:line="300"/>
      </w:pPr>
      <w:r>
        <w:rPr>
          <w:rFonts w:ascii="Calibri" w:cs="Calibri" w:eastAsia="Calibri" w:hAnsi="Calibri"/>
          <w:sz w:val="22"/>
          <w:szCs w:val="22"/>
        </w:rPr>
        <w:t xml:space="preserve">Vraag d ("waarom hebben we deze uitzonderingsregel ooit ingevoerd") wordt vaak verward met vraag a. Trek dit uit elkaar: a vraagt naar huidige relevantie, d naar herkomst. Beide zijn BA-vragen, maar het zijn twee aparte onderzoeksstappen — niet automatisch hetzelfde antwoord.</w:t>
      </w:r>
    </w:p>
    <w:p>
      <w:pPr>
        <w:pStyle w:val="Heading3"/>
        <w:spacing w:after="100" w:before="160"/>
      </w:pPr>
      <w:r>
        <w:rPr>
          <w:rFonts w:ascii="Georgia" w:cs="Georgia" w:eastAsia="Georgia" w:hAnsi="Georgia"/>
          <w:b/>
          <w:bCs/>
          <w:color w:val="1B2A4A"/>
          <w:sz w:val="24"/>
          <w:szCs w:val="24"/>
        </w:rPr>
        <w:t xml:space="preserve">Afsluiting — terug naar de twaalf varianten (2:45)</w:t>
      </w:r>
    </w:p>
    <w:p>
      <w:pPr>
        <w:spacing w:after="140" w:line="300"/>
      </w:pPr>
      <w:r>
        <w:rPr>
          <w:rFonts w:ascii="Calibri" w:cs="Calibri" w:eastAsia="Calibri" w:hAnsi="Calibri"/>
          <w:sz w:val="22"/>
          <w:szCs w:val="22"/>
        </w:rPr>
        <w:t xml:space="preserve">Sluit het dagdeel af zoals het begon: met Sannes lijst. Laat groepen niet de varianten zelf beoordelen (dat kan pas na deel 11-12), maar wél de vragen formuleren die zij aan Priya zouden stellen (opdracht 1.6). Dit is het bruggetje naar deel 2: "je weet nu waar je moet zoeken, deel 2 leert je hoe je erin navigeert."</w:t>
      </w:r>
    </w:p>
    <w:p>
      <w:pPr>
        <w:pStyle w:val="Heading2"/>
        <w:spacing w:after="120" w:before="200"/>
      </w:pPr>
      <w:r>
        <w:rPr>
          <w:rFonts w:ascii="Georgia" w:cs="Georgia" w:eastAsia="Georgia" w:hAnsi="Georgia"/>
          <w:b/>
          <w:bCs/>
          <w:color w:val="2C5AA0"/>
          <w:sz w:val="28"/>
          <w:szCs w:val="28"/>
        </w:rPr>
        <w:t xml:space="preserve">4. Omgaan met verschillende deelnemersgroepen</w:t>
      </w:r>
    </w:p>
    <w:p>
      <w:pPr>
        <w:spacing w:after="140" w:line="300"/>
      </w:pPr>
      <w:r>
        <w:rPr>
          <w:rFonts w:ascii="Calibri" w:cs="Calibri" w:eastAsia="Calibri" w:hAnsi="Calibri"/>
          <w:sz w:val="22"/>
          <w:szCs w:val="22"/>
        </w:rPr>
        <w:t xml:space="preserve">Ervaren BA's zonder SAP-ervaring (de kerndoelgroep, vergelijkbaar met Sanne). Zij herkennen zichzelf snel in het verhaal — gebruik dat. Risico: ongeduld met de "vogelvlucht"-aanpak, omdat zij snel dieper willen. Beloof expliciet dat deel 5, 6, 9 en de niveau 2-delen die diepte bieden.</w:t>
      </w:r>
    </w:p>
    <w:p>
      <w:pPr>
        <w:spacing w:after="140" w:line="300"/>
      </w:pPr>
      <w:r>
        <w:rPr>
          <w:rFonts w:ascii="Calibri" w:cs="Calibri" w:eastAsia="Calibri" w:hAnsi="Calibri"/>
          <w:sz w:val="22"/>
          <w:szCs w:val="22"/>
        </w:rPr>
        <w:t xml:space="preserve">Deelnemers met ervaring in een ander ERP-systeem (niet-SAP). Zij herkennen het gelaagde-modulepatroon snel en willen vaak vergelijken. Sta dat toe binnen de tijd, maar stuur terug naar SAP-specifieke termen zodra opdracht 1.1 begint — het is geen vergelijkende cursus.</w:t>
      </w:r>
    </w:p>
    <w:p>
      <w:pPr>
        <w:spacing w:after="140" w:line="300"/>
      </w:pPr>
      <w:r>
        <w:rPr>
          <w:rFonts w:ascii="Calibri" w:cs="Calibri" w:eastAsia="Calibri" w:hAnsi="Calibri"/>
          <w:sz w:val="22"/>
          <w:szCs w:val="22"/>
        </w:rPr>
        <w:t xml:space="preserve">Deelnemers zonder enige systeemervaring. Risico: het onderscheid concept/implementatiedetail (§4.3) blijft abstract zonder een concreet ankerpunt. Gebruik voor hen extra het voorbeeld van opdracht 1.2c (de ketenlogica versus de technische route) — dat is het scherpste, meest herkenbare voorbeeld in dit deel.</w:t>
      </w:r>
    </w:p>
    <w:p>
      <w:pPr>
        <w:pStyle w:val="Heading2"/>
        <w:spacing w:after="120" w:before="200"/>
      </w:pPr>
      <w:r>
        <w:rPr>
          <w:rFonts w:ascii="Georgia" w:cs="Georgia" w:eastAsia="Georgia" w:hAnsi="Georgia"/>
          <w:b/>
          <w:bCs/>
          <w:color w:val="2C5AA0"/>
          <w:sz w:val="28"/>
          <w:szCs w:val="28"/>
        </w:rPr>
        <w:t xml:space="preserve">5. Veelgestelde vragen</w:t>
      </w:r>
    </w:p>
    <w:p>
      <w:pPr>
        <w:spacing w:after="140" w:line="300"/>
      </w:pPr>
      <w:r>
        <w:rPr>
          <w:rFonts w:ascii="Calibri" w:cs="Calibri" w:eastAsia="Calibri" w:hAnsi="Calibri"/>
          <w:sz w:val="22"/>
          <w:szCs w:val="22"/>
        </w:rPr>
        <w:t xml:space="preserve">"Waarom leren we niet meteen configureren, dat is toch wat een consultant doet?" Omdat een BA die kan configureren zonder het onderscheid uit §5.1 (organisatievraag versus systeemvraag versus bouwvraag) scherp te houden, het risico loopt zelf de consultant-rol over te nemen zonder de bijbehorende verantwoordelijkheid en toetsing. Deze cursus leert lezen en beoordelen, bewust niet uitvoeren — zie reader §6.</w:t>
      </w:r>
    </w:p>
    <w:p>
      <w:pPr>
        <w:spacing w:after="140" w:line="300"/>
      </w:pPr>
      <w:r>
        <w:rPr>
          <w:rFonts w:ascii="Calibri" w:cs="Calibri" w:eastAsia="Calibri" w:hAnsi="Calibri"/>
          <w:sz w:val="22"/>
          <w:szCs w:val="22"/>
        </w:rPr>
        <w:t xml:space="preserve">"Is deze cursus ook bruikbaar zonder dat mijn organisatie überhaupt SAP overweegt?" Ja, gedeeltelijk: het onderscheid concept/implementatiedetail en de rolafbakening BA/consultant/ontwikkelaar zijn overdraagbaar naar elk pakketimplementatietraject. De FS-PM/FS-CM-specifieke delen (niveau 2) zijn dat minder.</w:t>
      </w:r>
    </w:p>
    <w:p>
      <w:pPr>
        <w:spacing w:after="140" w:line="300"/>
      </w:pPr>
      <w:r>
        <w:rPr>
          <w:rFonts w:ascii="Calibri" w:cs="Calibri" w:eastAsia="Calibri" w:hAnsi="Calibri"/>
          <w:sz w:val="22"/>
          <w:szCs w:val="22"/>
        </w:rPr>
        <w:t xml:space="preserve">"Waarom geen certificering aan het eind, zoals bij de testcursus?" Op het moment van schrijven bestaat er geen actuele, breed erkende SAP-certificering die specifiek op dit BA-domein (verzekeraar, FS-PM/FS-CM) aansluit — zie OPZET §1. Dit kan veranderen; verifieer bij aanvang van een cursusgroep of daar inmiddels verandering in is gekomen.</w:t>
      </w:r>
    </w:p>
    <w:p>
      <w:pPr>
        <w:pStyle w:val="Heading2"/>
        <w:spacing w:after="120" w:before="200"/>
      </w:pPr>
      <w:r>
        <w:rPr>
          <w:rFonts w:ascii="Georgia" w:cs="Georgia" w:eastAsia="Georgia" w:hAnsi="Georgia"/>
          <w:b/>
          <w:bCs/>
          <w:color w:val="2C5AA0"/>
          <w:sz w:val="28"/>
          <w:szCs w:val="28"/>
        </w:rPr>
        <w:t xml:space="preserve">6. Benodigdheden</w:t>
      </w:r>
    </w:p>
    <w:p>
      <w:pPr>
        <w:pStyle w:val="ListParagraph"/>
        <w:numPr>
          <w:ilvl w:val="0"/>
          <w:numId w:val="1"/>
        </w:numPr>
        <w:spacing w:after="80"/>
      </w:pPr>
      <w:r>
        <w:rPr>
          <w:rFonts w:ascii="Calibri" w:cs="Calibri" w:eastAsia="Calibri" w:hAnsi="Calibri"/>
          <w:sz w:val="22"/>
          <w:szCs w:val="22"/>
        </w:rPr>
        <w:t xml:space="preserve">Casusdossier-aanvulling SAP, hoofdstuk 1 t/m 4, uitgeprint per deelnemer.</w:t>
      </w:r>
    </w:p>
    <w:p>
      <w:pPr>
        <w:pStyle w:val="ListParagraph"/>
        <w:numPr>
          <w:ilvl w:val="0"/>
          <w:numId w:val="1"/>
        </w:numPr>
        <w:spacing w:after="80"/>
      </w:pPr>
      <w:r>
        <w:rPr>
          <w:rFonts w:ascii="Calibri" w:cs="Calibri" w:eastAsia="Calibri" w:hAnsi="Calibri"/>
          <w:sz w:val="22"/>
          <w:szCs w:val="22"/>
        </w:rPr>
        <w:t xml:space="preserve">Whiteboard voor de modulelandschap-kaart (laat deze staan tijdens het hele dagdeel).</w:t>
      </w:r>
    </w:p>
    <w:p>
      <w:pPr>
        <w:pStyle w:val="ListParagraph"/>
        <w:numPr>
          <w:ilvl w:val="0"/>
          <w:numId w:val="1"/>
        </w:numPr>
        <w:spacing w:after="80"/>
      </w:pPr>
      <w:r>
        <w:rPr>
          <w:rFonts w:ascii="Calibri" w:cs="Calibri" w:eastAsia="Calibri" w:hAnsi="Calibri"/>
          <w:sz w:val="22"/>
          <w:szCs w:val="22"/>
        </w:rPr>
        <w:t xml:space="preserve">Slidedeck deel 1.</w:t>
      </w:r>
    </w:p>
    <w:p>
      <w:pPr>
        <w:pStyle w:val="Heading2"/>
        <w:spacing w:after="120" w:before="200"/>
      </w:pPr>
      <w:r>
        <w:rPr>
          <w:rFonts w:ascii="Georgia" w:cs="Georgia" w:eastAsia="Georgia" w:hAnsi="Georgia"/>
          <w:b/>
          <w:bCs/>
          <w:color w:val="2C5AA0"/>
          <w:sz w:val="28"/>
          <w:szCs w:val="28"/>
        </w:rPr>
        <w:t xml:space="preserve">7. Beoordeling en doorstroom</w:t>
      </w:r>
    </w:p>
    <w:p>
      <w:pPr>
        <w:spacing w:after="140" w:line="300"/>
      </w:pPr>
      <w:r>
        <w:rPr>
          <w:rFonts w:ascii="Calibri" w:cs="Calibri" w:eastAsia="Calibri" w:hAnsi="Calibri"/>
          <w:sz w:val="22"/>
          <w:szCs w:val="22"/>
        </w:rPr>
        <w:t xml:space="preserve">Geen formele toetsing in dit deel. Eén signaal om op te letten: een deelnemer die bij opdracht 1.3 stelselmatig systeemvragen aan de BA toewijst (bijvoorbeeld antwoord b bij Sanne in plaats van Priya legt). Dat wijst op een nog onscherpe rolafbakening die in deel 6 en 9 opnieuw getoetst wordt — kort corrigeren, niet laten liggen.</w:t>
      </w:r>
    </w:p>
    <w:p>
      <w:pPr>
        <w:pStyle w:val="Heading2"/>
        <w:spacing w:after="120" w:before="200"/>
      </w:pPr>
      <w:r>
        <w:rPr>
          <w:rFonts w:ascii="Georgia" w:cs="Georgia" w:eastAsia="Georgia" w:hAnsi="Georgia"/>
          <w:b/>
          <w:bCs/>
          <w:color w:val="2C5AA0"/>
          <w:sz w:val="28"/>
          <w:szCs w:val="28"/>
        </w:rPr>
        <w:t xml:space="preserve">8. Voorbereiding op deel 2</w:t>
      </w:r>
    </w:p>
    <w:p>
      <w:pPr>
        <w:spacing w:after="140" w:line="300"/>
      </w:pPr>
      <w:r>
        <w:rPr>
          <w:rFonts w:ascii="Calibri" w:cs="Calibri" w:eastAsia="Calibri" w:hAnsi="Calibri"/>
          <w:sz w:val="22"/>
          <w:szCs w:val="22"/>
        </w:rPr>
        <w:t xml:space="preserve">Neem de vragen uit opdracht 1.6 (welke vragen zou Sanne aan Priya stellen) mee naar deel 2 — dat deel opent met systeemnavigatie en pakt die vragen deels concreet op.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1 Fundamenten · Deel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2026-08-16T20:12:34.868Z</dcterms:created>
  <dcterms:modified xsi:type="dcterms:W3CDTF">2026-08-16T20:12:34.868Z</dcterms:modified>
</cp:coreProperties>
</file>

<file path=docProps/custom.xml><?xml version="1.0" encoding="utf-8"?>
<Properties xmlns="http://schemas.openxmlformats.org/officeDocument/2006/custom-properties" xmlns:vt="http://schemas.openxmlformats.org/officeDocument/2006/docPropsVTypes"/>
</file>