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 — De SAP-wereld in vogelvlucht</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1.1 — De laag herkennen (15 min, individueel)</w:t>
      </w:r>
    </w:p>
    <w:p>
      <w:pPr>
        <w:spacing w:after="140" w:line="300"/>
      </w:pPr>
      <w:r>
        <w:rPr>
          <w:rFonts w:ascii="Calibri" w:cs="Calibri" w:eastAsia="Calibri" w:hAnsi="Calibri"/>
          <w:sz w:val="22"/>
          <w:szCs w:val="22"/>
        </w:rPr>
        <w:t xml:space="preserve">Plaats elk van de volgende vier begrippen op de juiste laag van de modulekaart uit reader §3.1 (generieke financiële basis / sectorspecifieke verwerkingslaag / procesmodule) en licht in één zin toe waarom.</w:t>
      </w:r>
    </w:p>
    <w:p>
      <w:pPr>
        <w:pStyle w:val="ListParagraph"/>
        <w:numPr>
          <w:ilvl w:val="0"/>
          <w:numId w:val="1"/>
        </w:numPr>
        <w:spacing w:after="80"/>
      </w:pPr>
      <w:r>
        <w:rPr>
          <w:rFonts w:ascii="Calibri" w:cs="Calibri" w:eastAsia="Calibri" w:hAnsi="Calibri"/>
          <w:sz w:val="22"/>
          <w:szCs w:val="22"/>
        </w:rPr>
        <w:t xml:space="preserve">Premie-incasso van 4.100 werkgevers, met een hoge verwerkingsfrequentie.</w:t>
      </w:r>
    </w:p>
    <w:p>
      <w:pPr>
        <w:pStyle w:val="ListParagraph"/>
        <w:numPr>
          <w:ilvl w:val="0"/>
          <w:numId w:val="1"/>
        </w:numPr>
        <w:spacing w:after="80"/>
      </w:pPr>
      <w:r>
        <w:rPr>
          <w:rFonts w:ascii="Calibri" w:cs="Calibri" w:eastAsia="Calibri" w:hAnsi="Calibri"/>
          <w:sz w:val="22"/>
          <w:szCs w:val="22"/>
        </w:rPr>
        <w:t xml:space="preserve">Het vastleggen van een nieuwe polis met een specifieke dekkingsvariant.</w:t>
      </w:r>
    </w:p>
    <w:p>
      <w:pPr>
        <w:pStyle w:val="ListParagraph"/>
        <w:numPr>
          <w:ilvl w:val="0"/>
          <w:numId w:val="1"/>
        </w:numPr>
        <w:spacing w:after="80"/>
      </w:pPr>
      <w:r>
        <w:rPr>
          <w:rFonts w:ascii="Calibri" w:cs="Calibri" w:eastAsia="Calibri" w:hAnsi="Calibri"/>
          <w:sz w:val="22"/>
          <w:szCs w:val="22"/>
        </w:rPr>
        <w:t xml:space="preserve">Het grootboek waarin uiteindelijk elke boeking terechtkomt.</w:t>
      </w:r>
    </w:p>
    <w:p>
      <w:pPr>
        <w:pStyle w:val="ListParagraph"/>
        <w:numPr>
          <w:ilvl w:val="0"/>
          <w:numId w:val="1"/>
        </w:numPr>
        <w:spacing w:after="80"/>
      </w:pPr>
      <w:r>
        <w:rPr>
          <w:rFonts w:ascii="Calibri" w:cs="Calibri" w:eastAsia="Calibri" w:hAnsi="Calibri"/>
          <w:sz w:val="22"/>
          <w:szCs w:val="22"/>
        </w:rPr>
        <w:t xml:space="preserve">Het registreren en afhandelen van een schademelding.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FS-CD — dit is precies het schaal- en frequentieprobleem waarvoor FS-CD is gebouwd bovenop generieke FI.</w:t>
            </w:r>
          </w:p>
          <w:p>
            <w:pPr>
              <w:spacing w:after="100" w:line="280"/>
            </w:pPr>
            <w:r>
              <w:rPr>
                <w:rFonts w:ascii="Calibri" w:cs="Calibri" w:eastAsia="Calibri" w:hAnsi="Calibri"/>
                <w:sz w:val="22"/>
                <w:szCs w:val="22"/>
              </w:rPr>
              <w:t xml:space="preserve">b. FS-PM — een procesmodule, de kern van Meridiaans vervangingstraject.</w:t>
            </w:r>
          </w:p>
          <w:p>
            <w:pPr>
              <w:spacing w:after="100" w:line="280"/>
            </w:pPr>
            <w:r>
              <w:rPr>
                <w:rFonts w:ascii="Calibri" w:cs="Calibri" w:eastAsia="Calibri" w:hAnsi="Calibri"/>
                <w:sz w:val="22"/>
                <w:szCs w:val="22"/>
              </w:rPr>
              <w:t xml:space="preserve">c. FI — de generieke financiële basis waar alles uiteindelijk op landt.</w:t>
            </w:r>
          </w:p>
          <w:p>
            <w:pPr>
              <w:spacing w:after="100" w:line="280"/>
            </w:pPr>
            <w:r>
              <w:rPr>
                <w:rFonts w:ascii="Calibri" w:cs="Calibri" w:eastAsia="Calibri" w:hAnsi="Calibri"/>
                <w:sz w:val="22"/>
                <w:szCs w:val="22"/>
              </w:rPr>
              <w:t xml:space="preserve">d. FS-CM — een procesmodule, net als FS-PM, maar voor het schadeproces in plaats van het polisproces.</w:t>
            </w:r>
          </w:p>
          <w:p>
            <w:pPr>
              <w:spacing w:after="100" w:line="280"/>
            </w:pPr>
            <w:r>
              <w:rPr>
                <w:rFonts w:ascii="Calibri" w:cs="Calibri" w:eastAsia="Calibri" w:hAnsi="Calibri"/>
                <w:sz w:val="22"/>
                <w:szCs w:val="22"/>
              </w:rPr>
              <w:t xml:space="preserve">Let op het patroon: a en c liggen "onder" de procesmodules b en d, en zijn breder herbruikbaar (elke sector gebruikt FI, elke verzekeraar gebruikt FS-CD). b en d zijn specifiek voor wát de organisatie doet.</w:t>
            </w:r>
          </w:p>
        </w:tc>
      </w:tr>
    </w:tbl>
    <w:p>
      <w:pPr>
        <w:pStyle w:val="Heading2"/>
        <w:spacing w:after="120" w:before="200"/>
      </w:pPr>
      <w:r>
        <w:rPr>
          <w:rFonts w:ascii="Georgia" w:cs="Georgia" w:eastAsia="Georgia" w:hAnsi="Georgia"/>
          <w:b/>
          <w:bCs/>
          <w:color w:val="2C5AA0"/>
          <w:sz w:val="28"/>
          <w:szCs w:val="28"/>
        </w:rPr>
        <w:t xml:space="preserve">Opdracht 1.2 — Concept of implementatiedetail? (15 min, individueel)</w:t>
      </w:r>
    </w:p>
    <w:p>
      <w:pPr>
        <w:spacing w:after="140" w:line="300"/>
      </w:pPr>
      <w:r>
        <w:rPr>
          <w:rFonts w:ascii="Calibri" w:cs="Calibri" w:eastAsia="Calibri" w:hAnsi="Calibri"/>
          <w:sz w:val="22"/>
          <w:szCs w:val="22"/>
        </w:rPr>
        <w:t xml:space="preserve">Voor elk van de volgende uitspraken: is dit een concept (blijft grotendeels overeind bij een systeemwissel) of een implementatiedetail (verandert per release/implementatie, altijd verifiëren)?</w:t>
      </w:r>
    </w:p>
    <w:p>
      <w:pPr>
        <w:pStyle w:val="ListParagraph"/>
        <w:numPr>
          <w:ilvl w:val="0"/>
          <w:numId w:val="1"/>
        </w:numPr>
        <w:spacing w:after="80"/>
      </w:pPr>
      <w:r>
        <w:rPr>
          <w:rFonts w:ascii="Calibri" w:cs="Calibri" w:eastAsia="Calibri" w:hAnsi="Calibri"/>
          <w:sz w:val="22"/>
          <w:szCs w:val="22"/>
        </w:rPr>
        <w:t xml:space="preserve">"Een polis heeft een productvariant met bijbehorende dekkingsregels."</w:t>
      </w:r>
    </w:p>
    <w:p>
      <w:pPr>
        <w:pStyle w:val="ListParagraph"/>
        <w:numPr>
          <w:ilvl w:val="0"/>
          <w:numId w:val="1"/>
        </w:numPr>
        <w:spacing w:after="80"/>
      </w:pPr>
      <w:r>
        <w:rPr>
          <w:rFonts w:ascii="Calibri" w:cs="Calibri" w:eastAsia="Calibri" w:hAnsi="Calibri"/>
          <w:sz w:val="22"/>
          <w:szCs w:val="22"/>
        </w:rPr>
        <w:t xml:space="preserve">"Je vindt deze functie via transactiecode XYZ123."</w:t>
      </w:r>
    </w:p>
    <w:p>
      <w:pPr>
        <w:pStyle w:val="ListParagraph"/>
        <w:numPr>
          <w:ilvl w:val="0"/>
          <w:numId w:val="1"/>
        </w:numPr>
        <w:spacing w:after="80"/>
      </w:pPr>
      <w:r>
        <w:rPr>
          <w:rFonts w:ascii="Calibri" w:cs="Calibri" w:eastAsia="Calibri" w:hAnsi="Calibri"/>
          <w:sz w:val="22"/>
          <w:szCs w:val="22"/>
        </w:rPr>
        <w:t xml:space="preserve">"Boekingen naar het grootboek gebeuren via een vaste ketenlogica van polis naar financiën."</w:t>
      </w:r>
    </w:p>
    <w:p>
      <w:pPr>
        <w:pStyle w:val="ListParagraph"/>
        <w:numPr>
          <w:ilvl w:val="0"/>
          <w:numId w:val="1"/>
        </w:numPr>
        <w:spacing w:after="80"/>
      </w:pPr>
      <w:r>
        <w:rPr>
          <w:rFonts w:ascii="Calibri" w:cs="Calibri" w:eastAsia="Calibri" w:hAnsi="Calibri"/>
          <w:sz w:val="22"/>
          <w:szCs w:val="22"/>
        </w:rPr>
        <w:t xml:space="preserve">"De schermnavigatie loopt via drie klikken vanaf het hoofdmenu."</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Concept. Dit is de kern van wat FS-PM doet, ongeacht release.</w:t>
            </w:r>
          </w:p>
          <w:p>
            <w:pPr>
              <w:spacing w:after="100" w:line="280"/>
            </w:pPr>
            <w:r>
              <w:rPr>
                <w:rFonts w:ascii="Calibri" w:cs="Calibri" w:eastAsia="Calibri" w:hAnsi="Calibri"/>
                <w:sz w:val="22"/>
                <w:szCs w:val="22"/>
              </w:rPr>
              <w:t xml:space="preserve">b. Implementatiedetail. Transactiecodes zijn per release en soms per implementatie verschillend; nooit uit het hoofd leren als een vaste waarheid.</w:t>
            </w:r>
          </w:p>
          <w:p>
            <w:pPr>
              <w:spacing w:after="100" w:line="280"/>
            </w:pPr>
            <w:r>
              <w:rPr>
                <w:rFonts w:ascii="Calibri" w:cs="Calibri" w:eastAsia="Calibri" w:hAnsi="Calibri"/>
                <w:sz w:val="22"/>
                <w:szCs w:val="22"/>
              </w:rPr>
              <w:t xml:space="preserve">c. Concept, met een kanttekening: de precieze technische route (bijvoorbeeld via de Universal Journal in S/4HANA versus oudere tabellen in ECC) is wél een implementatiedetail — de reader (§4.1) waarschuwt hier expliciet voor. Het concept "er is een vaste ketenlogica" blijft, de technische uitvoering ervan niet per se.</w:t>
            </w:r>
          </w:p>
          <w:p>
            <w:pPr>
              <w:spacing w:after="100" w:line="280"/>
            </w:pPr>
            <w:r>
              <w:rPr>
                <w:rFonts w:ascii="Calibri" w:cs="Calibri" w:eastAsia="Calibri" w:hAnsi="Calibri"/>
                <w:sz w:val="22"/>
                <w:szCs w:val="22"/>
              </w:rPr>
              <w:t xml:space="preserve">d. Implementatiedetail. Navigatie verschilt tussen GUI en Fiori, en tussen releases.</w:t>
            </w:r>
          </w:p>
          <w:p>
            <w:pPr>
              <w:spacing w:after="100" w:line="280"/>
            </w:pPr>
            <w:r>
              <w:rPr>
                <w:rFonts w:ascii="Calibri" w:cs="Calibri" w:eastAsia="Calibri" w:hAnsi="Calibri"/>
                <w:sz w:val="22"/>
                <w:szCs w:val="22"/>
              </w:rPr>
              <w:t xml:space="preserve">Nabespreking: c is de lastigste, en dat is precies de vaardigheid die deze cursus wil trainen — leren zien dat "er is een ketenlogica" en "die ketenlogica loopt langs tabel X" twee verschillende soorten uitspraken zijn.</w:t>
            </w:r>
          </w:p>
        </w:tc>
      </w:tr>
    </w:tbl>
    <w:p>
      <w:pPr>
        <w:pStyle w:val="Heading2"/>
        <w:spacing w:after="120" w:before="200"/>
      </w:pPr>
      <w:r>
        <w:rPr>
          <w:rFonts w:ascii="Georgia" w:cs="Georgia" w:eastAsia="Georgia" w:hAnsi="Georgia"/>
          <w:b/>
          <w:bCs/>
          <w:color w:val="2C5AA0"/>
          <w:sz w:val="28"/>
          <w:szCs w:val="28"/>
        </w:rPr>
        <w:t xml:space="preserve">Opdracht 1.3 — Wiens vraag is dit? (20 min, tweetallen)</w:t>
      </w:r>
    </w:p>
    <w:p>
      <w:pPr>
        <w:spacing w:after="140" w:line="300"/>
      </w:pPr>
      <w:r>
        <w:rPr>
          <w:rFonts w:ascii="Calibri" w:cs="Calibri" w:eastAsia="Calibri" w:hAnsi="Calibri"/>
          <w:sz w:val="22"/>
          <w:szCs w:val="22"/>
        </w:rPr>
        <w:t xml:space="preserve">Sanne, Priya (consultant) en Jelle (ontwikkelaar) krijgen elk een vraag voorgelegd. Bepaal per vraag wie hem in eerste instantie moet beantwoorden, en waarom.</w:t>
      </w:r>
    </w:p>
    <w:p>
      <w:pPr>
        <w:pStyle w:val="ListParagraph"/>
        <w:numPr>
          <w:ilvl w:val="0"/>
          <w:numId w:val="1"/>
        </w:numPr>
        <w:spacing w:after="80"/>
      </w:pPr>
      <w:r>
        <w:rPr>
          <w:rFonts w:ascii="Calibri" w:cs="Calibri" w:eastAsia="Calibri" w:hAnsi="Calibri"/>
          <w:sz w:val="22"/>
          <w:szCs w:val="22"/>
        </w:rPr>
        <w:t xml:space="preserve">"Is de slapersregeling uit 2011 nog nodig, of was hij bedacht voor een situatie die niet meer voorkomt?"</w:t>
      </w:r>
    </w:p>
    <w:p>
      <w:pPr>
        <w:pStyle w:val="ListParagraph"/>
        <w:numPr>
          <w:ilvl w:val="0"/>
          <w:numId w:val="1"/>
        </w:numPr>
        <w:spacing w:after="80"/>
      </w:pPr>
      <w:r>
        <w:rPr>
          <w:rFonts w:ascii="Calibri" w:cs="Calibri" w:eastAsia="Calibri" w:hAnsi="Calibri"/>
          <w:sz w:val="22"/>
          <w:szCs w:val="22"/>
        </w:rPr>
        <w:t xml:space="preserve">"Past deze productvariant binnen de standaardconfiguratie van FS-PM, of is er maatwerk nodig?"</w:t>
      </w:r>
    </w:p>
    <w:p>
      <w:pPr>
        <w:pStyle w:val="ListParagraph"/>
        <w:numPr>
          <w:ilvl w:val="0"/>
          <w:numId w:val="1"/>
        </w:numPr>
        <w:spacing w:after="80"/>
      </w:pPr>
      <w:r>
        <w:rPr>
          <w:rFonts w:ascii="Calibri" w:cs="Calibri" w:eastAsia="Calibri" w:hAnsi="Calibri"/>
          <w:sz w:val="22"/>
          <w:szCs w:val="22"/>
        </w:rPr>
        <w:t xml:space="preserve">"Hoe bouwen we de uitzonderingsregel die geen standaardconfiguratie dekt?"</w:t>
      </w:r>
    </w:p>
    <w:p>
      <w:pPr>
        <w:pStyle w:val="ListParagraph"/>
        <w:numPr>
          <w:ilvl w:val="0"/>
          <w:numId w:val="1"/>
        </w:numPr>
        <w:spacing w:after="80"/>
      </w:pPr>
      <w:r>
        <w:rPr>
          <w:rFonts w:ascii="Calibri" w:cs="Calibri" w:eastAsia="Calibri" w:hAnsi="Calibri"/>
          <w:sz w:val="22"/>
          <w:szCs w:val="22"/>
        </w:rPr>
        <w:t xml:space="preserve">"Waarom hebben we deze uitzonderingsregel ooit ingevoerd?"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Sanne (BA). Een organisatievraag: is de regel nog functioneel relevant. Geen systeemvraag.</w:t>
            </w:r>
          </w:p>
          <w:p>
            <w:pPr>
              <w:spacing w:after="100" w:line="280"/>
            </w:pPr>
            <w:r>
              <w:rPr>
                <w:rFonts w:ascii="Calibri" w:cs="Calibri" w:eastAsia="Calibri" w:hAnsi="Calibri"/>
                <w:sz w:val="22"/>
                <w:szCs w:val="22"/>
              </w:rPr>
              <w:t xml:space="preserve">b. Priya (consultant). Een systeemvraag: kennis van wat FS-PM standaard aanbiedt.</w:t>
            </w:r>
          </w:p>
          <w:p>
            <w:pPr>
              <w:spacing w:after="100" w:line="280"/>
            </w:pPr>
            <w:r>
              <w:rPr>
                <w:rFonts w:ascii="Calibri" w:cs="Calibri" w:eastAsia="Calibri" w:hAnsi="Calibri"/>
                <w:sz w:val="22"/>
                <w:szCs w:val="22"/>
              </w:rPr>
              <w:t xml:space="preserve">c. Jelle (ontwikkelaar). Een bouwvraag, ná het antwoord op b.</w:t>
            </w:r>
          </w:p>
          <w:p>
            <w:pPr>
              <w:spacing w:after="100" w:line="280"/>
            </w:pPr>
            <w:r>
              <w:rPr>
                <w:rFonts w:ascii="Calibri" w:cs="Calibri" w:eastAsia="Calibri" w:hAnsi="Calibri"/>
                <w:sz w:val="22"/>
                <w:szCs w:val="22"/>
              </w:rPr>
              <w:t xml:space="preserve">d. Sanne (BA), met mogelijk hulp van Marijke de Groot die de historische kennis heeft. Ook dit is een organisatievraag, geen systeemvraag — al gaat het antwoord er misschien wel toe leiden dat de regel bij b als "geen maatwerk nodig" wordt bestempeld omdat hij vervalt.</w:t>
            </w:r>
          </w:p>
          <w:p>
            <w:pPr>
              <w:spacing w:after="100" w:line="280"/>
            </w:pPr>
            <w:r>
              <w:rPr>
                <w:rFonts w:ascii="Calibri" w:cs="Calibri" w:eastAsia="Calibri" w:hAnsi="Calibri"/>
                <w:sz w:val="22"/>
                <w:szCs w:val="22"/>
              </w:rPr>
              <w:t xml:space="preserve">Nabespreking: a en d lijken op elkaar maar zijn niet identiek — a vraagt naar de huidige relevantie, d naar de herkomst. Beide horen bij de BA, maar het zijn twee stappen: eerst begrijpen waarom iets bestaat, dan pas beoordelen of het nog moet blijven bestaan.</w:t>
            </w:r>
          </w:p>
        </w:tc>
      </w:tr>
    </w:tbl>
    <w:p>
      <w:pPr>
        <w:pStyle w:val="Heading2"/>
        <w:spacing w:after="120" w:before="200"/>
      </w:pPr>
      <w:r>
        <w:rPr>
          <w:rFonts w:ascii="Georgia" w:cs="Georgia" w:eastAsia="Georgia" w:hAnsi="Georgia"/>
          <w:b/>
          <w:bCs/>
          <w:color w:val="2C5AA0"/>
          <w:sz w:val="28"/>
          <w:szCs w:val="28"/>
        </w:rPr>
        <w:t xml:space="preserve">Opdracht 1.4 — ECC of S/4HANA: wat verandert er voor wie? (15 min, individueel)</w:t>
      </w:r>
    </w:p>
    <w:p>
      <w:pPr>
        <w:spacing w:after="140" w:line="300"/>
      </w:pPr>
      <w:r>
        <w:rPr>
          <w:rFonts w:ascii="Calibri" w:cs="Calibri" w:eastAsia="Calibri" w:hAnsi="Calibri"/>
          <w:sz w:val="22"/>
          <w:szCs w:val="22"/>
        </w:rPr>
        <w:t xml:space="preserve">Meridiaan overweegt uiteindelijk niet alleen FS-PM maar ook de vraag of dit op ECC- of S/4HANA-niveau wordt ingericht. Noem voor elk van de volgende groepen wat voor hen het meest merkbare verschil zou zijn tussen de twee generaties, op basis van reader §4.1.</w:t>
      </w:r>
    </w:p>
    <w:p>
      <w:pPr>
        <w:pStyle w:val="ListParagraph"/>
        <w:numPr>
          <w:ilvl w:val="0"/>
          <w:numId w:val="1"/>
        </w:numPr>
        <w:spacing w:after="80"/>
      </w:pPr>
      <w:r>
        <w:rPr>
          <w:rFonts w:ascii="Calibri" w:cs="Calibri" w:eastAsia="Calibri" w:hAnsi="Calibri"/>
          <w:sz w:val="22"/>
          <w:szCs w:val="22"/>
        </w:rPr>
        <w:t xml:space="preserve">Een medewerker van de polisadministratie die dagelijks in het systeem werkt.</w:t>
      </w:r>
    </w:p>
    <w:p>
      <w:pPr>
        <w:pStyle w:val="ListParagraph"/>
        <w:numPr>
          <w:ilvl w:val="0"/>
          <w:numId w:val="1"/>
        </w:numPr>
        <w:spacing w:after="80"/>
      </w:pPr>
      <w:r>
        <w:rPr>
          <w:rFonts w:ascii="Calibri" w:cs="Calibri" w:eastAsia="Calibri" w:hAnsi="Calibri"/>
          <w:sz w:val="22"/>
          <w:szCs w:val="22"/>
        </w:rPr>
        <w:t xml:space="preserve">Een financiële analist die maandrapportages maakt.</w:t>
      </w:r>
    </w:p>
    <w:p>
      <w:pPr>
        <w:pStyle w:val="ListParagraph"/>
        <w:numPr>
          <w:ilvl w:val="0"/>
          <w:numId w:val="1"/>
        </w:numPr>
        <w:spacing w:after="80"/>
      </w:pPr>
      <w:r>
        <w:rPr>
          <w:rFonts w:ascii="Calibri" w:cs="Calibri" w:eastAsia="Calibri" w:hAnsi="Calibri"/>
          <w:sz w:val="22"/>
          <w:szCs w:val="22"/>
        </w:rPr>
        <w:t xml:space="preserve">Sanne, als BA die eisen moet vertalen naar configuratie.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De interface — GUI-schermen versus Fiori-apps; dit raakt direct hun dagelijkse werk.</w:t>
            </w:r>
          </w:p>
          <w:p>
            <w:pPr>
              <w:spacing w:after="100" w:line="280"/>
            </w:pPr>
            <w:r>
              <w:rPr>
                <w:rFonts w:ascii="Calibri" w:cs="Calibri" w:eastAsia="Calibri" w:hAnsi="Calibri"/>
                <w:sz w:val="22"/>
                <w:szCs w:val="22"/>
              </w:rPr>
              <w:t xml:space="preserve">b. Het datamodel/rapportagesnelheid — de Universal Journal-achtige aanpak in S/4HANA is voor rapportage het meest voelbare verschil (zie ook deel 15).</w:t>
            </w:r>
          </w:p>
          <w:p>
            <w:pPr>
              <w:spacing w:after="100" w:line="280"/>
            </w:pPr>
            <w:r>
              <w:rPr>
                <w:rFonts w:ascii="Calibri" w:cs="Calibri" w:eastAsia="Calibri" w:hAnsi="Calibri"/>
                <w:sz w:val="22"/>
                <w:szCs w:val="22"/>
              </w:rPr>
              <w:t xml:space="preserve">c. In de kern weinig — het BTX-concept en de productlogica van FS-PM blijven grotendeels hetzelfde; wat wél verandert wordt in deel 23 apart behandeld zodra dat voor Meridiaan concreet wordt. Dit is een bewust "lastig" antwoord: het leert dat niet elke groep evenveel merkt van een generatiewissel.</w:t>
            </w:r>
          </w:p>
        </w:tc>
      </w:tr>
    </w:tbl>
    <w:p>
      <w:pPr>
        <w:pStyle w:val="Heading2"/>
        <w:spacing w:after="120" w:before="200"/>
      </w:pPr>
      <w:r>
        <w:rPr>
          <w:rFonts w:ascii="Georgia" w:cs="Georgia" w:eastAsia="Georgia" w:hAnsi="Georgia"/>
          <w:b/>
          <w:bCs/>
          <w:color w:val="2C5AA0"/>
          <w:sz w:val="28"/>
          <w:szCs w:val="28"/>
        </w:rPr>
        <w:t xml:space="preserve">Opdracht 1.5 — De grens tussen kennen en kunnen lezen (10 min, individueel)</w:t>
      </w:r>
    </w:p>
    <w:p>
      <w:pPr>
        <w:spacing w:after="140" w:line="300"/>
      </w:pPr>
      <w:r>
        <w:rPr>
          <w:rFonts w:ascii="Calibri" w:cs="Calibri" w:eastAsia="Calibri" w:hAnsi="Calibri"/>
          <w:sz w:val="22"/>
          <w:szCs w:val="22"/>
        </w:rPr>
        <w:t xml:space="preserve">Beschrijf in twee tot drie zinnen een situatie uit je eigen werk (of, als je geen SAP-ervaring hebt, een ander systeem) waarin iemand het domein kende maar het systeem niet kon lezen, of andersom. Wat ging daardoor mis, of wat kostte het extra tijd?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Herken in de nabespreking het patroon uit reader §5.2: domeinkennis zonder systeemkennis leidt tot eisen die niet getoetst zijn op haalbaarheid; systeemkennis zonder domeinkennis leidt tot correct gebouwde oplossingen voor het verkeerde probleem. Vraag door: welke van de twee kwam in het voorbeeld van de deelnemer het vaakst voor, en waarom?</w:t>
            </w:r>
          </w:p>
        </w:tc>
      </w:tr>
    </w:tbl>
    <w:p>
      <w:pPr>
        <w:pStyle w:val="Heading2"/>
        <w:spacing w:after="120" w:before="200"/>
      </w:pPr>
      <w:r>
        <w:rPr>
          <w:rFonts w:ascii="Georgia" w:cs="Georgia" w:eastAsia="Georgia" w:hAnsi="Georgia"/>
          <w:b/>
          <w:bCs/>
          <w:color w:val="2C5AA0"/>
          <w:sz w:val="28"/>
          <w:szCs w:val="28"/>
        </w:rPr>
        <w:t xml:space="preserve">Opdracht 1.6 — De eerste twaalf varianten (25 min, groepjes van drie, huiswerk mag ook)</w:t>
      </w:r>
    </w:p>
    <w:p>
      <w:pPr>
        <w:spacing w:after="140" w:line="300"/>
      </w:pPr>
      <w:r>
        <w:rPr>
          <w:rFonts w:ascii="Calibri" w:cs="Calibri" w:eastAsia="Calibri" w:hAnsi="Calibri"/>
          <w:sz w:val="22"/>
          <w:szCs w:val="22"/>
        </w:rPr>
        <w:t xml:space="preserve">Terug naar Sannes openingsopdracht (reader §1): een lijst van twaalf "eenvoudige" productvarianten beoordelen op of ze binnen standaard FS-PM passen. Bedenk, zonder de latere delen over FS-PM-configuratie (deel 11-12) al te kennen, drie vragen die Sanne aan Priya zou moeten stellen vóórdat zij ook maar aan die beoordeling begint.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 geen uitputtende lijst)</w:t>
            </w:r>
          </w:p>
          <w:p>
            <w:pPr>
              <w:spacing w:after="100" w:line="280"/>
            </w:pPr>
            <w:r>
              <w:rPr>
                <w:rFonts w:ascii="Calibri" w:cs="Calibri" w:eastAsia="Calibri" w:hAnsi="Calibri"/>
                <w:sz w:val="22"/>
                <w:szCs w:val="22"/>
              </w:rPr>
              <w:t xml:space="preserve">Verwachte of vergelijkbare vragen:</w:t>
            </w:r>
          </w:p>
          <w:p>
            <w:pPr>
              <w:spacing w:after="100" w:line="280"/>
            </w:pPr>
            <w:r>
              <w:rPr>
                <w:rFonts w:ascii="Calibri" w:cs="Calibri" w:eastAsia="Calibri" w:hAnsi="Calibri"/>
                <w:sz w:val="22"/>
                <w:szCs w:val="22"/>
              </w:rPr>
              <w:t xml:space="preserve">- "Wat betekent 'standaard' hier precies — is dat SAP's wereldwijde standaardconfiguratie, of een sectorstandaard die al ergens is aangepast voor verzekeraars?"</w:t>
            </w:r>
          </w:p>
          <w:p>
            <w:pPr>
              <w:spacing w:after="100" w:line="280"/>
            </w:pPr>
            <w:r>
              <w:rPr>
                <w:rFonts w:ascii="Calibri" w:cs="Calibri" w:eastAsia="Calibri" w:hAnsi="Calibri"/>
                <w:sz w:val="22"/>
                <w:szCs w:val="22"/>
              </w:rPr>
              <w:t xml:space="preserve">- "Hoe herken ik in het systeem het verschil tussen een configuratieoptie (relatief goedkoop) en een uitbreiding (relatief duur)?"</w:t>
            </w:r>
          </w:p>
          <w:p>
            <w:pPr>
              <w:spacing w:after="100" w:line="280"/>
            </w:pPr>
            <w:r>
              <w:rPr>
                <w:rFonts w:ascii="Calibri" w:cs="Calibri" w:eastAsia="Calibri" w:hAnsi="Calibri"/>
                <w:sz w:val="22"/>
                <w:szCs w:val="22"/>
              </w:rPr>
              <w:t xml:space="preserve">- "Als iets niet past — is dat dan per definitie maatwerk, of bestaat er een tussenvorm?"</w:t>
            </w:r>
          </w:p>
          <w:p>
            <w:pPr>
              <w:spacing w:after="100" w:line="280"/>
            </w:pPr>
            <w:r>
              <w:rPr>
                <w:rFonts w:ascii="Calibri" w:cs="Calibri" w:eastAsia="Calibri" w:hAnsi="Calibri"/>
                <w:sz w:val="22"/>
                <w:szCs w:val="22"/>
              </w:rPr>
              <w:t xml:space="preserve">Nabespreking: de kwaliteit van deze vragen zit niet in domeinkennis (die heeft Sanne al) maar in het besef dat "standaard" een systeemterm is die zij nog niet scherp heeft. Dat is precies waar deel 1 mee eindigt en deel 2 mee verdergaat.</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*Eigen vragen, gericht op begripscontrole van dit deel — geen aansluiting bij een extern examen (zie OPZET §1: deze cursus kent geen extern certificeringsanker).*</w:t>
      </w:r>
    </w:p>
    <w:p>
      <w:pPr>
        <w:spacing w:after="140" w:line="300"/>
      </w:pPr>
      <w:r>
        <w:rPr>
          <w:rFonts w:ascii="Calibri" w:cs="Calibri" w:eastAsia="Calibri" w:hAnsi="Calibri"/>
          <w:sz w:val="22"/>
          <w:szCs w:val="22"/>
        </w:rPr>
        <w:t xml:space="preserve">1. Welke module in het modellandschap ligt het dichtst bij de generieke financiële basis? A. FS-PM B. FS-CM C. FI D. FS-CD</w:t>
      </w:r>
    </w:p>
    <w:p>
      <w:pPr>
        <w:spacing w:after="140" w:line="300"/>
      </w:pPr>
      <w:r>
        <w:rPr>
          <w:rFonts w:ascii="Calibri" w:cs="Calibri" w:eastAsia="Calibri" w:hAnsi="Calibri"/>
          <w:sz w:val="22"/>
          <w:szCs w:val="22"/>
        </w:rPr>
        <w:t xml:space="preserve">2. Wat is het belangrijkste verschil tussen FS-CD en generieke FI voor een verzekeraar? A. FS-CD is nieuwer. B. FS-CD is gebouwd voor de schaal en frequentie van inningen/uitbetalingen in de financiële sector. C. FS-CD vervangt FI volledig. D. FS-CD is alleen beschikbaar in S/4HANA.</w:t>
      </w:r>
    </w:p>
    <w:p>
      <w:pPr>
        <w:spacing w:after="140" w:line="300"/>
      </w:pPr>
      <w:r>
        <w:rPr>
          <w:rFonts w:ascii="Calibri" w:cs="Calibri" w:eastAsia="Calibri" w:hAnsi="Calibri"/>
          <w:sz w:val="22"/>
          <w:szCs w:val="22"/>
        </w:rPr>
        <w:t xml:space="preserve">3. Wat is het meest kenmerkende verschil tussen ECC en S/4HANA voor een dagelijkse gebruiker? A. De prijs van de licentie. B. De interface: GUI versus Fiori. C. Het aantal beschikbare modules. D. De naam van de leverancier.</w:t>
      </w:r>
    </w:p>
    <w:p>
      <w:pPr>
        <w:spacing w:after="140" w:line="300"/>
      </w:pPr>
      <w:r>
        <w:rPr>
          <w:rFonts w:ascii="Calibri" w:cs="Calibri" w:eastAsia="Calibri" w:hAnsi="Calibri"/>
          <w:sz w:val="22"/>
          <w:szCs w:val="22"/>
        </w:rPr>
        <w:t xml:space="preserve">4. Een BA leest dat "een polis een productvariant heeft met dekkingsregels". Is dit een concept of een implementatiedetail? A. Concept. B. Implementatiedetail. C. Beide even sterk. D. Geen van beide — dit is een technische specificatie.</w:t>
      </w:r>
    </w:p>
    <w:p>
      <w:pPr>
        <w:spacing w:after="140" w:line="300"/>
      </w:pPr>
      <w:r>
        <w:rPr>
          <w:rFonts w:ascii="Calibri" w:cs="Calibri" w:eastAsia="Calibri" w:hAnsi="Calibri"/>
          <w:sz w:val="22"/>
          <w:szCs w:val="22"/>
        </w:rPr>
        <w:t xml:space="preserve">5. Wie stelt in eerste instantie de vraag "is deze uitzonderingsregel nog functioneel nodig"? A. De ontwikkelaar. B. De functioneel consultant. C. De business analist. D. De systeembeheerder.</w:t>
      </w:r>
    </w:p>
    <w:p>
      <w:pPr>
        <w:spacing w:after="140" w:line="300"/>
      </w:pPr>
      <w:r>
        <w:rPr>
          <w:rFonts w:ascii="Calibri" w:cs="Calibri" w:eastAsia="Calibri" w:hAnsi="Calibri"/>
          <w:sz w:val="22"/>
          <w:szCs w:val="22"/>
        </w:rPr>
        <w:t xml:space="preserve">6. Wat is het risico van het opsplitsen van een monolithisch systeem (zoals Panorama) in gelaagde modules? A. Het systeem wordt trager. B. Integratie die vroeger vanzelfsprekend was, moet nu expliciet ontworpen worden. C. Er zijn meer licenties nodig. D. Er is geen risico, alleen voordeel.</w:t>
      </w:r>
    </w:p>
    <w:p>
      <w:pPr>
        <w:spacing w:after="140" w:line="300"/>
      </w:pPr>
      <w:r>
        <w:rPr>
          <w:rFonts w:ascii="Calibri" w:cs="Calibri" w:eastAsia="Calibri" w:hAnsi="Calibri"/>
          <w:sz w:val="22"/>
          <w:szCs w:val="22"/>
        </w:rPr>
        <w:t xml:space="preserve">7. Waarom is FS-PM's toekomst binnen S/4HANA relevant voor Meridiaans keuze? A. Omdat FS-PM alleen in S/4HANA bestaat. B. Omdat de conceptuele kern van FS-PM stabiel genoeg is om nu te leren, ook vóór een eventuele S/4HANA-overstap. C. Omdat ECC per direct wordt uitgefaseerd. D. Omdat S/4HANA geen polisadministratie ondersteunt.</w:t>
      </w:r>
    </w:p>
    <w:p>
      <w:pPr>
        <w:spacing w:after="140" w:line="300"/>
      </w:pPr>
      <w:r>
        <w:rPr>
          <w:rFonts w:ascii="Calibri" w:cs="Calibri" w:eastAsia="Calibri" w:hAnsi="Calibri"/>
          <w:sz w:val="22"/>
          <w:szCs w:val="22"/>
        </w:rPr>
        <w:t xml:space="preserve">8. Wat onderscheidt de rol van de BA het scherpst van die van de functioneel consultant? A. De BA werkt met Excel, de consultant met SAP. B. De BA stelt de organisatievraag, de consultant de systeemvraag. C. De BA heeft meer ervaring. D. Er is geen wezenlijk verschil.</w:t>
      </w:r>
    </w:p>
    <w:p>
      <w:pPr>
        <w:spacing w:after="140" w:line="300"/>
      </w:pPr>
      <w:r>
        <w:rPr>
          <w:rFonts w:ascii="Calibri" w:cs="Calibri" w:eastAsia="Calibri" w:hAnsi="Calibri"/>
          <w:sz w:val="22"/>
          <w:szCs w:val="22"/>
        </w:rPr>
        <w:t xml:space="preserve">9. Wat leert deze cursus een BA niet? A. Een SAP-voorstel beoordelen. B. Een requirement schrijven die een consultant kan configureren. C. Zelf SAP configureren of programmeren. D. Een goede vraag stellen aan een consultant.</w:t>
      </w:r>
    </w:p>
    <w:p>
      <w:pPr>
        <w:spacing w:after="140" w:line="300"/>
      </w:pPr>
      <w:r>
        <w:rPr>
          <w:rFonts w:ascii="Calibri" w:cs="Calibri" w:eastAsia="Calibri" w:hAnsi="Calibri"/>
          <w:sz w:val="22"/>
          <w:szCs w:val="22"/>
        </w:rPr>
        <w:t xml:space="preserve">10. Waarom is domeinkennis zonder systeemkennis onvoldoende, volgens dit deel? A. Domeinkennis is minder waardevol dan systeemkennis. B. Zonder systeemkennis kun je een eis formuleren maar niet toetsen of hij haalbaar is. C. Domeinkennis veroudert sneller dan systeemkennis. D. Domeinkennis is alleen relevant voor de eindgebruiker.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C. FI is de generieke basis; FS-CD, FS-PM en FS-CM liggen erboven.</w:t>
            </w:r>
          </w:p>
          <w:p>
            <w:pPr>
              <w:spacing w:after="100" w:line="280"/>
            </w:pPr>
            <w:r>
              <w:rPr>
                <w:rFonts w:ascii="Calibri" w:cs="Calibri" w:eastAsia="Calibri" w:hAnsi="Calibri"/>
                <w:sz w:val="22"/>
                <w:szCs w:val="22"/>
              </w:rPr>
              <w:t xml:space="preserve">2. B. Schaal en frequentie, niet nieuwheid of exclusiviteit.</w:t>
            </w:r>
          </w:p>
          <w:p>
            <w:pPr>
              <w:spacing w:after="100" w:line="280"/>
            </w:pPr>
            <w:r>
              <w:rPr>
                <w:rFonts w:ascii="Calibri" w:cs="Calibri" w:eastAsia="Calibri" w:hAnsi="Calibri"/>
                <w:sz w:val="22"/>
                <w:szCs w:val="22"/>
              </w:rPr>
              <w:t xml:space="preserve">3. B. GUI versus Fiori is het meest directe, dagelijkse verschil.</w:t>
            </w:r>
          </w:p>
          <w:p>
            <w:pPr>
              <w:spacing w:after="100" w:line="280"/>
            </w:pPr>
            <w:r>
              <w:rPr>
                <w:rFonts w:ascii="Calibri" w:cs="Calibri" w:eastAsia="Calibri" w:hAnsi="Calibri"/>
                <w:sz w:val="22"/>
                <w:szCs w:val="22"/>
              </w:rPr>
              <w:t xml:space="preserve">4. A. Dit is de productlogica zelf — een concept.</w:t>
            </w:r>
          </w:p>
          <w:p>
            <w:pPr>
              <w:spacing w:after="100" w:line="280"/>
            </w:pPr>
            <w:r>
              <w:rPr>
                <w:rFonts w:ascii="Calibri" w:cs="Calibri" w:eastAsia="Calibri" w:hAnsi="Calibri"/>
                <w:sz w:val="22"/>
                <w:szCs w:val="22"/>
              </w:rPr>
              <w:t xml:space="preserve">5. C. De BA — een organisatievraag, geen systeemvraag.</w:t>
            </w:r>
          </w:p>
          <w:p>
            <w:pPr>
              <w:spacing w:after="100" w:line="280"/>
            </w:pPr>
            <w:r>
              <w:rPr>
                <w:rFonts w:ascii="Calibri" w:cs="Calibri" w:eastAsia="Calibri" w:hAnsi="Calibri"/>
                <w:sz w:val="22"/>
                <w:szCs w:val="22"/>
              </w:rPr>
              <w:t xml:space="preserve">6. B. Reader §3.2 — integratie wordt expliciet in plaats van vanzelfsprekend.</w:t>
            </w:r>
          </w:p>
          <w:p>
            <w:pPr>
              <w:spacing w:after="100" w:line="280"/>
            </w:pPr>
            <w:r>
              <w:rPr>
                <w:rFonts w:ascii="Calibri" w:cs="Calibri" w:eastAsia="Calibri" w:hAnsi="Calibri"/>
                <w:sz w:val="22"/>
                <w:szCs w:val="22"/>
              </w:rPr>
              <w:t xml:space="preserve">7. B. Reader §4.2 — stabiliteit van het concept, niet exclusiviteit.</w:t>
            </w:r>
          </w:p>
          <w:p>
            <w:pPr>
              <w:spacing w:after="100" w:line="280"/>
            </w:pPr>
            <w:r>
              <w:rPr>
                <w:rFonts w:ascii="Calibri" w:cs="Calibri" w:eastAsia="Calibri" w:hAnsi="Calibri"/>
                <w:sz w:val="22"/>
                <w:szCs w:val="22"/>
              </w:rPr>
              <w:t xml:space="preserve">8. B. De kernonderscheiding uit reader §5.1.</w:t>
            </w:r>
          </w:p>
          <w:p>
            <w:pPr>
              <w:spacing w:after="100" w:line="280"/>
            </w:pPr>
            <w:r>
              <w:rPr>
                <w:rFonts w:ascii="Calibri" w:cs="Calibri" w:eastAsia="Calibri" w:hAnsi="Calibri"/>
                <w:sz w:val="22"/>
                <w:szCs w:val="22"/>
              </w:rPr>
              <w:t xml:space="preserve">9. C. Reader §6 — expliciet buiten scope.</w:t>
            </w:r>
          </w:p>
          <w:p>
            <w:pPr>
              <w:spacing w:after="100" w:line="280"/>
            </w:pPr>
            <w:r>
              <w:rPr>
                <w:rFonts w:ascii="Calibri" w:cs="Calibri" w:eastAsia="Calibri" w:hAnsi="Calibri"/>
                <w:sz w:val="22"/>
                <w:szCs w:val="22"/>
              </w:rPr>
              <w:t xml:space="preserve">10. B. Reader §5.2 — de kern van "kennen versus kunnen lezen".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2026-08-16T20:12:34.849Z</dcterms:created>
  <dcterms:modified xsi:type="dcterms:W3CDTF">2026-08-16T20:12:34.849Z</dcterms:modified>
</cp:coreProperties>
</file>

<file path=docProps/custom.xml><?xml version="1.0" encoding="utf-8"?>
<Properties xmlns="http://schemas.openxmlformats.org/officeDocument/2006/custom-properties" xmlns:vt="http://schemas.openxmlformats.org/officeDocument/2006/docPropsVTypes"/>
</file>