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B2A4A"/>
          <w:sz w:val="44"/>
          <w:szCs w:val="44"/>
        </w:rPr>
        <w:t xml:space="preserve">Deel 2 — Systeemlandschap &amp; navigatie</w:t>
      </w:r>
    </w:p>
    <w:p>
      <w:pPr>
        <w:spacing w:after="300"/>
      </w:pPr>
      <w:r>
        <w:rPr>
          <w:rFonts w:ascii="Calibri" w:cs="Calibri" w:eastAsia="Calibri" w:hAnsi="Calibri"/>
          <w:i/>
          <w:iCs/>
          <w:color w:val="2C5AA0"/>
          <w:sz w:val="22"/>
          <w:szCs w:val="22"/>
        </w:rPr>
        <w:t xml:space="preserve">Docentenhandleiding · Niveau 1 Fundamenten · Cursus SAP voor Business Analysts · Ductus</w:t>
      </w:r>
    </w:p>
    <w:p>
      <w:pPr>
        <w:pStyle w:val="Heading2"/>
        <w:spacing w:after="120" w:before="200"/>
      </w:pPr>
      <w:r>
        <w:rPr>
          <w:rFonts w:ascii="Georgia" w:cs="Georgia" w:eastAsia="Georgia" w:hAnsi="Georgia"/>
          <w:b/>
          <w:bCs/>
          <w:color w:val="2C5AA0"/>
          <w:sz w:val="28"/>
          <w:szCs w:val="28"/>
        </w:rPr>
        <w:t xml:space="preserve">1. Bedoeling van dit deel</w:t>
      </w:r>
    </w:p>
    <w:p>
      <w:pPr>
        <w:spacing w:after="140" w:line="300"/>
      </w:pPr>
      <w:r>
        <w:rPr>
          <w:rFonts w:ascii="Calibri" w:cs="Calibri" w:eastAsia="Calibri" w:hAnsi="Calibri"/>
          <w:sz w:val="22"/>
          <w:szCs w:val="22"/>
        </w:rPr>
        <w:t xml:space="preserve">Dit deel is technischer van toon dan deel 1, maar het doel blijft niet-technisch: een BA moet een uitspraak als "het werkt niet" kunnen ontleden naar "in welke omgeving, via welke ingang, en is het daar al beschikbaar." Vermijd de verleiding om dit deel te laten verzanden in een systeemdemonstratie — het is een deel over lezen en duiden, niet over bedienen.</w:t>
      </w:r>
    </w:p>
    <w:p>
      <w:pPr>
        <w:spacing w:after="140" w:line="300"/>
      </w:pPr>
      <w:r>
        <w:rPr>
          <w:rFonts w:ascii="Calibri" w:cs="Calibri" w:eastAsia="Calibri" w:hAnsi="Calibri"/>
          <w:sz w:val="22"/>
          <w:szCs w:val="22"/>
        </w:rPr>
        <w:t xml:space="preserve">Als deelnemers na dit dagdeel één zin onthouden, is het deze: "het staat in het systeem" is onvolledig zolang je niet weet in welk systeem.</w:t>
      </w:r>
    </w:p>
    <w:p>
      <w:pPr>
        <w:pStyle w:val="Heading2"/>
        <w:spacing w:after="120" w:before="200"/>
      </w:pPr>
      <w:r>
        <w:rPr>
          <w:rFonts w:ascii="Georgia" w:cs="Georgia" w:eastAsia="Georgia" w:hAnsi="Georgia"/>
          <w:b/>
          <w:bCs/>
          <w:color w:val="2C5AA0"/>
          <w:sz w:val="28"/>
          <w:szCs w:val="28"/>
        </w:rPr>
        <w:t xml:space="preserve">2. Programma dagdeel (3 uur, inclusief twee pauzes)</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rPr>
          <w:tblHeader/>
        </w:trPr>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Tijd</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Onderdeel</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Vorm</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0:00–0:10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Terugblik deel 1: Sannes drie vragen aan Priya</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plenair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0:10–0:25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Sannes eerste inlog, de sandbox-vraag (reader §1)</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verhalend</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0:25–0:50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Systeemlagen DEV/QA/PRD + sandbox (reader §3)</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college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0:50–1:10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2.1 en 2.2</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individueel + plenair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1:10–1:20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pauze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1:20–1:45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Transactiecodes en Fiori (reader §4)</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college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1:45–2:05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2.3</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tweetallen + plenair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2:05–2:15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pauze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2:15–2:40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Transporten (reader §5)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college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2:40–3:00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2.4 en 2.5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individueel/groepjes + plenair</w:t>
            </w:r>
          </w:p>
        </w:tc>
      </w:tr>
    </w:tbl>
    <w:p>
      <w:pPr>
        <w:spacing w:after="140" w:line="300"/>
      </w:pPr>
      <w:r>
        <w:rPr>
          <w:rFonts w:ascii="Calibri" w:cs="Calibri" w:eastAsia="Calibri" w:hAnsi="Calibri"/>
          <w:sz w:val="22"/>
          <w:szCs w:val="22"/>
        </w:rPr>
        <w:t xml:space="preserve">Opdracht 2.6 is huiswerk.</w:t>
      </w:r>
    </w:p>
    <w:p>
      <w:pPr>
        <w:pStyle w:val="Heading2"/>
        <w:spacing w:after="120" w:before="200"/>
      </w:pPr>
      <w:r>
        <w:rPr>
          <w:rFonts w:ascii="Georgia" w:cs="Georgia" w:eastAsia="Georgia" w:hAnsi="Georgia"/>
          <w:b/>
          <w:bCs/>
          <w:color w:val="2C5AA0"/>
          <w:sz w:val="28"/>
          <w:szCs w:val="28"/>
        </w:rPr>
        <w:t xml:space="preserve">3. Aandachtspunten per onderdeel</w:t>
      </w:r>
    </w:p>
    <w:p>
      <w:pPr>
        <w:pStyle w:val="Heading3"/>
        <w:spacing w:after="100" w:before="160"/>
      </w:pPr>
      <w:r>
        <w:rPr>
          <w:rFonts w:ascii="Georgia" w:cs="Georgia" w:eastAsia="Georgia" w:hAnsi="Georgia"/>
          <w:b/>
          <w:bCs/>
          <w:color w:val="1B2A4A"/>
          <w:sz w:val="24"/>
          <w:szCs w:val="24"/>
        </w:rPr>
        <w:t xml:space="preserve">Terugblik (0:00)</w:t>
      </w:r>
    </w:p>
    <w:p>
      <w:pPr>
        <w:spacing w:after="140" w:line="300"/>
      </w:pPr>
      <w:r>
        <w:rPr>
          <w:rFonts w:ascii="Calibri" w:cs="Calibri" w:eastAsia="Calibri" w:hAnsi="Calibri"/>
          <w:sz w:val="22"/>
          <w:szCs w:val="22"/>
        </w:rPr>
        <w:t xml:space="preserve">Haal kort de vragen op uit werkboek 1.6 (deel 1). Dit deel beantwoordt er één impliciet ("hoe herken ik het verschil tussen configuratie en uitbreiding" komt pas in deel 6 echt aan bod) maar levert wel het eerste stuk taal om zulke vragen preciezer te stellen — leg die verwachting expliciet, anders voelt de aansluiting los.</w:t>
      </w:r>
    </w:p>
    <w:p>
      <w:pPr>
        <w:pStyle w:val="Heading3"/>
        <w:spacing w:after="100" w:before="160"/>
      </w:pPr>
      <w:r>
        <w:rPr>
          <w:rFonts w:ascii="Georgia" w:cs="Georgia" w:eastAsia="Georgia" w:hAnsi="Georgia"/>
          <w:b/>
          <w:bCs/>
          <w:color w:val="1B2A4A"/>
          <w:sz w:val="24"/>
          <w:szCs w:val="24"/>
        </w:rPr>
        <w:t xml:space="preserve">Sandbox versus DEV (0:50)</w:t>
      </w:r>
    </w:p>
    <w:p>
      <w:pPr>
        <w:spacing w:after="140" w:line="300"/>
      </w:pPr>
      <w:r>
        <w:rPr>
          <w:rFonts w:ascii="Calibri" w:cs="Calibri" w:eastAsia="Calibri" w:hAnsi="Calibri"/>
          <w:sz w:val="22"/>
          <w:szCs w:val="22"/>
        </w:rPr>
        <w:t xml:space="preserve">Dit is de meest onderschatte valkuil in dit deel: deelnemers met enige systeemervaring nemen vaak aan dat "getest in een demo-omgeving" iets zegt over de eigen implementatie. Besteed hier bewust extra tijd — het is de kiem van een fout die in niveau 2 (fit-gap-analyse) grote gevolgen kan hebben als hij niet hier al wordt rechtgezet.</w:t>
      </w:r>
    </w:p>
    <w:p>
      <w:pPr>
        <w:pStyle w:val="Heading3"/>
        <w:spacing w:after="100" w:before="160"/>
      </w:pPr>
      <w:r>
        <w:rPr>
          <w:rFonts w:ascii="Georgia" w:cs="Georgia" w:eastAsia="Georgia" w:hAnsi="Georgia"/>
          <w:b/>
          <w:bCs/>
          <w:color w:val="1B2A4A"/>
          <w:sz w:val="24"/>
          <w:szCs w:val="24"/>
        </w:rPr>
        <w:t xml:space="preserve">Tcode/Fiori (1:20)</w:t>
      </w:r>
    </w:p>
    <w:p>
      <w:pPr>
        <w:spacing w:after="140" w:line="300"/>
      </w:pPr>
      <w:r>
        <w:rPr>
          <w:rFonts w:ascii="Calibri" w:cs="Calibri" w:eastAsia="Calibri" w:hAnsi="Calibri"/>
          <w:sz w:val="22"/>
          <w:szCs w:val="22"/>
        </w:rPr>
        <w:t xml:space="preserve">Vermijd de verleiding om hier een live systeem te tonen als dat niet beschikbaar is — een goed vertelde beschrijving met de kaart (figuur 2-3) werkt net zo goed voor het doel van dit deel (herkennen, niet bedienen). Als er wél een sandbox beschikbaar is voor een korte livedemo, houd die onder de tien minuten en laat zien, niet laten oefenen — oefenen hoort niet bij het doel van deze cursus (zie reader §6, deel 1).</w:t>
      </w:r>
    </w:p>
    <w:p>
      <w:pPr>
        <w:pStyle w:val="Heading3"/>
        <w:spacing w:after="100" w:before="160"/>
      </w:pPr>
      <w:r>
        <w:rPr>
          <w:rFonts w:ascii="Georgia" w:cs="Georgia" w:eastAsia="Georgia" w:hAnsi="Georgia"/>
          <w:b/>
          <w:bCs/>
          <w:color w:val="1B2A4A"/>
          <w:sz w:val="24"/>
          <w:szCs w:val="24"/>
        </w:rPr>
        <w:t xml:space="preserve">Opdracht 2.3 (1:45)</w:t>
      </w:r>
    </w:p>
    <w:p>
      <w:pPr>
        <w:spacing w:after="140" w:line="300"/>
      </w:pPr>
      <w:r>
        <w:rPr>
          <w:rFonts w:ascii="Calibri" w:cs="Calibri" w:eastAsia="Calibri" w:hAnsi="Calibri"/>
          <w:sz w:val="22"/>
          <w:szCs w:val="22"/>
        </w:rPr>
        <w:t xml:space="preserve">Vraag c is bewust dubbelzinnig (zie werkboek-uitwerking). Als een deelnemer verontwaardigd reageert dat er "geen goed antwoord" is: bevestig dat expliciet — dat is de les. Herformuleer de klacht als een compliment aan de opdracht.</w:t>
      </w:r>
    </w:p>
    <w:p>
      <w:pPr>
        <w:pStyle w:val="Heading3"/>
        <w:spacing w:after="100" w:before="160"/>
      </w:pPr>
      <w:r>
        <w:rPr>
          <w:rFonts w:ascii="Georgia" w:cs="Georgia" w:eastAsia="Georgia" w:hAnsi="Georgia"/>
          <w:b/>
          <w:bCs/>
          <w:color w:val="1B2A4A"/>
          <w:sz w:val="24"/>
          <w:szCs w:val="24"/>
        </w:rPr>
        <w:t xml:space="preserve">Transporten (2:15)</w:t>
      </w:r>
    </w:p>
    <w:p>
      <w:pPr>
        <w:spacing w:after="140" w:line="300"/>
      </w:pPr>
      <w:r>
        <w:rPr>
          <w:rFonts w:ascii="Calibri" w:cs="Calibri" w:eastAsia="Calibri" w:hAnsi="Calibri"/>
          <w:sz w:val="22"/>
          <w:szCs w:val="22"/>
        </w:rPr>
        <w:t xml:space="preserve">Reken op de vraag "wie beheert dit dan, en hoe vaak gebeurt zo'n transport?" Antwoord kort dat dit per organisatie en per traject verschilt (implementatiedetail, niet concept) en dat het antwoord in dit vak niet is "ken het transportschema uit je hoofd" maar "weet dat er een goedkeuringsmoment tussen elke stap zit."</w:t>
      </w:r>
    </w:p>
    <w:p>
      <w:pPr>
        <w:pStyle w:val="Heading3"/>
        <w:spacing w:after="100" w:before="160"/>
      </w:pPr>
      <w:r>
        <w:rPr>
          <w:rFonts w:ascii="Georgia" w:cs="Georgia" w:eastAsia="Georgia" w:hAnsi="Georgia"/>
          <w:b/>
          <w:bCs/>
          <w:color w:val="1B2A4A"/>
          <w:sz w:val="24"/>
          <w:szCs w:val="24"/>
        </w:rPr>
        <w:t xml:space="preserve">Opdracht 2.5 (2:40)</w:t>
      </w:r>
    </w:p>
    <w:p>
      <w:pPr>
        <w:spacing w:after="140" w:line="300"/>
      </w:pPr>
      <w:r>
        <w:rPr>
          <w:rFonts w:ascii="Calibri" w:cs="Calibri" w:eastAsia="Calibri" w:hAnsi="Calibri"/>
          <w:sz w:val="22"/>
          <w:szCs w:val="22"/>
        </w:rPr>
        <w:t xml:space="preserve">De sterkste opdracht van dit deel — laat hier extra tijd voor als het programma uitloopt, eerder ten koste van 2.3 dan van 2.5. De vragen die deelnemers hier bedenken, zijn een directe voorspelling van hun latere gedrag bij een echte bevindingsmelding.</w:t>
      </w:r>
    </w:p>
    <w:p>
      <w:pPr>
        <w:pStyle w:val="Heading2"/>
        <w:spacing w:after="120" w:before="200"/>
      </w:pPr>
      <w:r>
        <w:rPr>
          <w:rFonts w:ascii="Georgia" w:cs="Georgia" w:eastAsia="Georgia" w:hAnsi="Georgia"/>
          <w:b/>
          <w:bCs/>
          <w:color w:val="2C5AA0"/>
          <w:sz w:val="28"/>
          <w:szCs w:val="28"/>
        </w:rPr>
        <w:t xml:space="preserve">4. Omgaan met verschillende deelnemersgroepen</w:t>
      </w:r>
    </w:p>
    <w:p>
      <w:pPr>
        <w:spacing w:after="140" w:line="300"/>
      </w:pPr>
      <w:r>
        <w:rPr>
          <w:rFonts w:ascii="Calibri" w:cs="Calibri" w:eastAsia="Calibri" w:hAnsi="Calibri"/>
          <w:sz w:val="22"/>
          <w:szCs w:val="22"/>
        </w:rPr>
        <w:t xml:space="preserve">Deelnemers met testervaring (bijvoorbeeld uit de zustercursus). Zij herkennen het DEV/QA/PRD-patroon direct en kunnen als eerste aan het woord bij opdracht 2.1. Waarschuw hen wel dat het SAP-specifieke transportmechanisme net iets anders werkt dan een generieke CI/CD-pijplijn — geen automatische deploy, expliciete goedkeuringsstappen.</w:t>
      </w:r>
    </w:p>
    <w:p>
      <w:pPr>
        <w:spacing w:after="140" w:line="300"/>
      </w:pPr>
      <w:r>
        <w:rPr>
          <w:rFonts w:ascii="Calibri" w:cs="Calibri" w:eastAsia="Calibri" w:hAnsi="Calibri"/>
          <w:sz w:val="22"/>
          <w:szCs w:val="22"/>
        </w:rPr>
        <w:t xml:space="preserve">Deelnemers zonder enige systeemervaring. Het onderscheid tcode/Fiori kan initieel verwarrend zijn omdat beide nieuw zijn. Gebruik voor hen de vergelijking met "twee ingangen naar hetzelfde gebouw" (reader §4.3) als vast ankerbeeld.</w:t>
      </w:r>
    </w:p>
    <w:p>
      <w:pPr>
        <w:pStyle w:val="Heading2"/>
        <w:spacing w:after="120" w:before="200"/>
      </w:pPr>
      <w:r>
        <w:rPr>
          <w:rFonts w:ascii="Georgia" w:cs="Georgia" w:eastAsia="Georgia" w:hAnsi="Georgia"/>
          <w:b/>
          <w:bCs/>
          <w:color w:val="2C5AA0"/>
          <w:sz w:val="28"/>
          <w:szCs w:val="28"/>
        </w:rPr>
        <w:t xml:space="preserve">5. Veelgestelde vragen</w:t>
      </w:r>
    </w:p>
    <w:p>
      <w:pPr>
        <w:spacing w:after="140" w:line="300"/>
      </w:pPr>
      <w:r>
        <w:rPr>
          <w:rFonts w:ascii="Calibri" w:cs="Calibri" w:eastAsia="Calibri" w:hAnsi="Calibri"/>
          <w:sz w:val="22"/>
          <w:szCs w:val="22"/>
        </w:rPr>
        <w:t xml:space="preserve">"Waarom gebruikt SAP dan nog tcodes als Fiori er is?" Omdat niet elke functie al is omgezet naar Fiori — dit verschilt sterk per implementatie en per module. Verwacht een mix, niet een volledige overstap.</w:t>
      </w:r>
    </w:p>
    <w:p>
      <w:pPr>
        <w:spacing w:after="140" w:line="300"/>
      </w:pPr>
      <w:r>
        <w:rPr>
          <w:rFonts w:ascii="Calibri" w:cs="Calibri" w:eastAsia="Calibri" w:hAnsi="Calibri"/>
          <w:sz w:val="22"/>
          <w:szCs w:val="22"/>
        </w:rPr>
        <w:t xml:space="preserve">"Wie beslist wanneer een transport van QA naar PRD gaat?" Verschilt per organisatie; vaak een gezamenlijk besluit van functioneel beheer en de programma-/projectleiding, soms met een formeel wijzigingsproces (CAB-achtig). Niet iets om hier diep op in te gaan — relevant is dat een BA weet dát dit besluitmoment bestaat.</w:t>
      </w:r>
    </w:p>
    <w:p>
      <w:pPr>
        <w:spacing w:after="140" w:line="300"/>
      </w:pPr>
      <w:r>
        <w:rPr>
          <w:rFonts w:ascii="Calibri" w:cs="Calibri" w:eastAsia="Calibri" w:hAnsi="Calibri"/>
          <w:sz w:val="22"/>
          <w:szCs w:val="22"/>
        </w:rPr>
        <w:t xml:space="preserve">"Is een sandbox hetzelfde als DEV?" Nee — expliciet nee, zie reader §3.2-3.3. Dit is de meest gemaakte denkfout in dit deel; corrigeer hem zodra hij opduikt.</w:t>
      </w:r>
    </w:p>
    <w:p>
      <w:pPr>
        <w:pStyle w:val="Heading2"/>
        <w:spacing w:after="120" w:before="200"/>
      </w:pPr>
      <w:r>
        <w:rPr>
          <w:rFonts w:ascii="Georgia" w:cs="Georgia" w:eastAsia="Georgia" w:hAnsi="Georgia"/>
          <w:b/>
          <w:bCs/>
          <w:color w:val="2C5AA0"/>
          <w:sz w:val="28"/>
          <w:szCs w:val="28"/>
        </w:rPr>
        <w:t xml:space="preserve">6. Benodigdheden</w:t>
      </w:r>
    </w:p>
    <w:p>
      <w:pPr>
        <w:pStyle w:val="ListParagraph"/>
        <w:numPr>
          <w:ilvl w:val="0"/>
          <w:numId w:val="1"/>
        </w:numPr>
        <w:spacing w:after="80"/>
      </w:pPr>
      <w:r>
        <w:rPr>
          <w:rFonts w:ascii="Calibri" w:cs="Calibri" w:eastAsia="Calibri" w:hAnsi="Calibri"/>
          <w:sz w:val="22"/>
          <w:szCs w:val="22"/>
        </w:rPr>
        <w:t xml:space="preserve">Casusdossier-aanvulling SAP.</w:t>
      </w:r>
    </w:p>
    <w:p>
      <w:pPr>
        <w:pStyle w:val="ListParagraph"/>
        <w:numPr>
          <w:ilvl w:val="0"/>
          <w:numId w:val="1"/>
        </w:numPr>
        <w:spacing w:after="80"/>
      </w:pPr>
      <w:r>
        <w:rPr>
          <w:rFonts w:ascii="Calibri" w:cs="Calibri" w:eastAsia="Calibri" w:hAnsi="Calibri"/>
          <w:sz w:val="22"/>
          <w:szCs w:val="22"/>
        </w:rPr>
        <w:t xml:space="preserve">Slidedeck deel 2.</w:t>
      </w:r>
    </w:p>
    <w:p>
      <w:pPr>
        <w:pStyle w:val="ListParagraph"/>
        <w:numPr>
          <w:ilvl w:val="0"/>
          <w:numId w:val="1"/>
        </w:numPr>
        <w:spacing w:after="80"/>
      </w:pPr>
      <w:r>
        <w:rPr>
          <w:rFonts w:ascii="Calibri" w:cs="Calibri" w:eastAsia="Calibri" w:hAnsi="Calibri"/>
          <w:sz w:val="22"/>
          <w:szCs w:val="22"/>
        </w:rPr>
        <w:t xml:space="preserve">Optioneel: toegang tot een sandbox-omgeving voor een korte livedemo (niet verplicht).</w:t>
      </w:r>
    </w:p>
    <w:p>
      <w:pPr>
        <w:pStyle w:val="Heading2"/>
        <w:spacing w:after="120" w:before="200"/>
      </w:pPr>
      <w:r>
        <w:rPr>
          <w:rFonts w:ascii="Georgia" w:cs="Georgia" w:eastAsia="Georgia" w:hAnsi="Georgia"/>
          <w:b/>
          <w:bCs/>
          <w:color w:val="2C5AA0"/>
          <w:sz w:val="28"/>
          <w:szCs w:val="28"/>
        </w:rPr>
        <w:t xml:space="preserve">7. Beoordeling en doorstroom</w:t>
      </w:r>
    </w:p>
    <w:p>
      <w:pPr>
        <w:spacing w:after="140" w:line="300"/>
      </w:pPr>
      <w:r>
        <w:rPr>
          <w:rFonts w:ascii="Calibri" w:cs="Calibri" w:eastAsia="Calibri" w:hAnsi="Calibri"/>
          <w:sz w:val="22"/>
          <w:szCs w:val="22"/>
        </w:rPr>
        <w:t xml:space="preserve">Geen formele toetsing. Let op deelnemers die bij opdracht 2.4c toch "ja, dit is een storing" antwoorden — dat wijst op onvoldoende beklijving van het omgevingsonderscheid en verdient een korte individuele correctie vóór deel 3.</w:t>
      </w:r>
    </w:p>
    <w:p>
      <w:pPr>
        <w:pStyle w:val="Heading2"/>
        <w:spacing w:after="120" w:before="200"/>
      </w:pPr>
      <w:r>
        <w:rPr>
          <w:rFonts w:ascii="Georgia" w:cs="Georgia" w:eastAsia="Georgia" w:hAnsi="Georgia"/>
          <w:b/>
          <w:bCs/>
          <w:color w:val="2C5AA0"/>
          <w:sz w:val="28"/>
          <w:szCs w:val="28"/>
        </w:rPr>
        <w:t xml:space="preserve">8. Voorbereiding op deel 3</w:t>
      </w:r>
    </w:p>
    <w:p>
      <w:pPr>
        <w:spacing w:after="140" w:line="300"/>
      </w:pPr>
      <w:r>
        <w:rPr>
          <w:rFonts w:ascii="Calibri" w:cs="Calibri" w:eastAsia="Calibri" w:hAnsi="Calibri"/>
          <w:sz w:val="22"/>
          <w:szCs w:val="22"/>
        </w:rPr>
        <w:t xml:space="preserve">Deel 3 (Tabellen &amp; Data Dictionary) bouwt voort op de navigatievaardigheid van dit deel: waar je nu weet hóe je ergens komt, leer je daar wát je ziet. Geen specifieke voorbereiding nodig van deelnemers.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SAP voor Business Analysts · Niveau 1 Fundamenten · Deel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2026-08-16T20:12:36.024Z</dcterms:created>
  <dcterms:modified xsi:type="dcterms:W3CDTF">2026-08-16T20:12:36.024Z</dcterms:modified>
</cp:coreProperties>
</file>

<file path=docProps/custom.xml><?xml version="1.0" encoding="utf-8"?>
<Properties xmlns="http://schemas.openxmlformats.org/officeDocument/2006/custom-properties" xmlns:vt="http://schemas.openxmlformats.org/officeDocument/2006/docPropsVTypes"/>
</file>