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rFonts w:ascii="Georgia" w:cs="Georgia" w:eastAsia="Georgia" w:hAnsi="Georgia"/>
          <w:b/>
          <w:bCs/>
          <w:color w:val="1B2A4A"/>
          <w:sz w:val="44"/>
          <w:szCs w:val="44"/>
        </w:rPr>
        <w:t xml:space="preserve">Deel 2 — Systeemlandschap &amp; navigatie</w:t>
      </w:r>
    </w:p>
    <w:p>
      <w:pPr>
        <w:spacing w:after="300"/>
      </w:pPr>
      <w:r>
        <w:rPr>
          <w:rFonts w:ascii="Calibri" w:cs="Calibri" w:eastAsia="Calibri" w:hAnsi="Calibri"/>
          <w:i/>
          <w:iCs/>
          <w:color w:val="2C5AA0"/>
          <w:sz w:val="22"/>
          <w:szCs w:val="22"/>
        </w:rPr>
        <w:t xml:space="preserve">Werkboek · Niveau 1 Fundamenten · Cursus SAP voor Business Analysts · Ductus</w:t>
      </w:r>
    </w:p>
    <w:p>
      <w:pPr>
        <w:pStyle w:val="Heading2"/>
        <w:spacing w:after="120" w:before="200"/>
      </w:pPr>
      <w:r>
        <w:rPr>
          <w:rFonts w:ascii="Georgia" w:cs="Georgia" w:eastAsia="Georgia" w:hAnsi="Georgia"/>
          <w:b/>
          <w:bCs/>
          <w:color w:val="2C5AA0"/>
          <w:sz w:val="28"/>
          <w:szCs w:val="28"/>
        </w:rPr>
        <w:t xml:space="preserve">Opdracht 2.1 — Welke omgeving is dit? (15 min, individueel)</w:t>
      </w:r>
    </w:p>
    <w:p>
      <w:pPr>
        <w:spacing w:after="140" w:line="300"/>
      </w:pPr>
      <w:r>
        <w:rPr>
          <w:rFonts w:ascii="Calibri" w:cs="Calibri" w:eastAsia="Calibri" w:hAnsi="Calibri"/>
          <w:sz w:val="22"/>
          <w:szCs w:val="22"/>
        </w:rPr>
        <w:t xml:space="preserve">Bepaal per situatie in welke omgeving (sandbox, DEV, QA, PRD) dit zich waarschijnlijk afspeelt, en licht toe.</w:t>
      </w:r>
    </w:p>
    <w:p>
      <w:pPr>
        <w:pStyle w:val="ListParagraph"/>
        <w:numPr>
          <w:ilvl w:val="0"/>
          <w:numId w:val="1"/>
        </w:numPr>
        <w:spacing w:after="80"/>
      </w:pPr>
      <w:r>
        <w:rPr>
          <w:rFonts w:ascii="Calibri" w:cs="Calibri" w:eastAsia="Calibri" w:hAnsi="Calibri"/>
          <w:sz w:val="22"/>
          <w:szCs w:val="22"/>
        </w:rPr>
        <w:t xml:space="preserve">Priya bouwt een eerste configuratie van een productvariant die nog nergens anders bestaat.</w:t>
      </w:r>
    </w:p>
    <w:p>
      <w:pPr>
        <w:pStyle w:val="ListParagraph"/>
        <w:numPr>
          <w:ilvl w:val="0"/>
          <w:numId w:val="1"/>
        </w:numPr>
        <w:spacing w:after="80"/>
      </w:pPr>
      <w:r>
        <w:rPr>
          <w:rFonts w:ascii="Calibri" w:cs="Calibri" w:eastAsia="Calibri" w:hAnsi="Calibri"/>
          <w:sz w:val="22"/>
          <w:szCs w:val="22"/>
        </w:rPr>
        <w:t xml:space="preserve">Sanne test standaard FS-PM-gedrag zonder dat er iets Meridiaan-specifieks is ingericht.</w:t>
      </w:r>
    </w:p>
    <w:p>
      <w:pPr>
        <w:pStyle w:val="ListParagraph"/>
        <w:numPr>
          <w:ilvl w:val="0"/>
          <w:numId w:val="1"/>
        </w:numPr>
        <w:spacing w:after="80"/>
      </w:pPr>
      <w:r>
        <w:rPr>
          <w:rFonts w:ascii="Calibri" w:cs="Calibri" w:eastAsia="Calibri" w:hAnsi="Calibri"/>
          <w:sz w:val="22"/>
          <w:szCs w:val="22"/>
        </w:rPr>
        <w:t xml:space="preserve">Marijke de Groot voert een acceptatietest uit met een dataset die op productie lijkt, vlak vóór livegang.</w:t>
      </w:r>
    </w:p>
    <w:p>
      <w:pPr>
        <w:pStyle w:val="ListParagraph"/>
        <w:numPr>
          <w:ilvl w:val="0"/>
          <w:numId w:val="1"/>
        </w:numPr>
        <w:spacing w:after="80"/>
      </w:pPr>
      <w:r>
        <w:rPr>
          <w:rFonts w:ascii="Calibri" w:cs="Calibri" w:eastAsia="Calibri" w:hAnsi="Calibri"/>
          <w:sz w:val="22"/>
          <w:szCs w:val="22"/>
        </w:rPr>
        <w:t xml:space="preserve">Een polishouder logt in en dient een adreswijziging in.</w:t>
      </w:r>
    </w:p>
    <w:tbl>
      <w:tblPr>
        <w:tblW w:type="pct" w:w="100%"/>
        <w:tblBorders>
          <w:top w:val="single" w:color="D99A3D" w:sz="4"/>
          <w:left w:val="single" w:color="D99A3D" w:sz="4"/>
          <w:bottom w:val="single" w:color="D99A3D" w:sz="4"/>
          <w:right w:val="single" w:color="D99A3D" w:sz="4"/>
          <w:insideH w:val="single" w:color="auto" w:sz="4"/>
          <w:insideV w:val="single" w:color="auto" w:sz="4"/>
        </w:tblBorders>
      </w:tblPr>
      <w:tblGrid>
        <w:gridCol w:w="100"/>
      </w:tblGrid>
      <w:tr>
        <w:tc>
          <w:tcPr>
            <w:shd w:fill="1B2A4A" w:color="auto" w:val="clear"/>
            <w:tcMar>
              <w:top w:type="dxa" w:w="40"/>
              <w:left w:type="dxa" w:w="220"/>
              <w:bottom w:type="dxa" w:w="0"/>
              <w:right w:type="dxa" w:w="220"/>
            </w:tcMar>
          </w:tcPr>
          <w:p>
            <w:pPr>
              <w:spacing w:after="100"/>
            </w:pPr>
            <w:r>
              <w:rPr>
                <w:rFonts w:ascii="Georgia" w:cs="Georgia" w:eastAsia="Georgia" w:hAnsi="Georgia"/>
                <w:b/>
                <w:bCs/>
                <w:color w:val="FFFFFF"/>
                <w:sz w:val="22"/>
                <w:szCs w:val="22"/>
              </w:rPr>
              <w:t xml:space="preserve">UITWERKING</w:t>
            </w:r>
          </w:p>
        </w:tc>
      </w:tr>
      <w:tr>
        <w:tc>
          <w:tcPr>
            <w:shd w:fill="FBF3E7" w:color="auto" w:val="clear"/>
            <w:tcMar>
              <w:top w:type="dxa" w:w="160"/>
              <w:left w:type="dxa" w:w="220"/>
              <w:bottom w:type="dxa" w:w="160"/>
              <w:right w:type="dxa" w:w="220"/>
            </w:tcMar>
          </w:tcPr>
          <w:p>
            <w:pPr>
              <w:spacing w:after="100" w:line="280"/>
            </w:pPr>
            <w:r>
              <w:rPr>
                <w:rFonts w:ascii="Calibri" w:cs="Calibri" w:eastAsia="Calibri" w:hAnsi="Calibri"/>
                <w:sz w:val="22"/>
                <w:szCs w:val="22"/>
              </w:rPr>
              <w:t xml:space="preserve">a. DEV — configuratie wordt hier voor het eerst gebouwd.</w:t>
            </w:r>
          </w:p>
          <w:p>
            <w:pPr>
              <w:spacing w:after="100" w:line="280"/>
            </w:pPr>
            <w:r>
              <w:rPr>
                <w:rFonts w:ascii="Calibri" w:cs="Calibri" w:eastAsia="Calibri" w:hAnsi="Calibri"/>
                <w:sz w:val="22"/>
                <w:szCs w:val="22"/>
              </w:rPr>
              <w:t xml:space="preserve">b. Sandbox — standaardgedrag verkennen, geen Meridiaan-specifieke inrichting.</w:t>
            </w:r>
          </w:p>
          <w:p>
            <w:pPr>
              <w:spacing w:after="100" w:line="280"/>
            </w:pPr>
            <w:r>
              <w:rPr>
                <w:rFonts w:ascii="Calibri" w:cs="Calibri" w:eastAsia="Calibri" w:hAnsi="Calibri"/>
                <w:sz w:val="22"/>
                <w:szCs w:val="22"/>
              </w:rPr>
              <w:t xml:space="preserve">c. QA — acceptatietest met representatieve data, vóór livegang.</w:t>
            </w:r>
          </w:p>
          <w:p>
            <w:pPr>
              <w:spacing w:after="100" w:line="280"/>
            </w:pPr>
            <w:r>
              <w:rPr>
                <w:rFonts w:ascii="Calibri" w:cs="Calibri" w:eastAsia="Calibri" w:hAnsi="Calibri"/>
                <w:sz w:val="22"/>
                <w:szCs w:val="22"/>
              </w:rPr>
              <w:t xml:space="preserve">d. PRD — een echte polishouder in het operationele systeem.</w:t>
            </w:r>
          </w:p>
        </w:tc>
      </w:tr>
    </w:tbl>
    <w:p>
      <w:pPr>
        <w:pStyle w:val="Heading2"/>
        <w:spacing w:after="120" w:before="200"/>
      </w:pPr>
      <w:r>
        <w:rPr>
          <w:rFonts w:ascii="Georgia" w:cs="Georgia" w:eastAsia="Georgia" w:hAnsi="Georgia"/>
          <w:b/>
          <w:bCs/>
          <w:color w:val="2C5AA0"/>
          <w:sz w:val="28"/>
          <w:szCs w:val="28"/>
        </w:rPr>
        <w:t xml:space="preserve">Opdracht 2.2 — Sandbox versus DEV (10 min, individueel)</w:t>
      </w:r>
    </w:p>
    <w:p>
      <w:pPr>
        <w:spacing w:after="140" w:line="300"/>
      </w:pPr>
      <w:r>
        <w:rPr>
          <w:rFonts w:ascii="Calibri" w:cs="Calibri" w:eastAsia="Calibri" w:hAnsi="Calibri"/>
          <w:sz w:val="22"/>
          <w:szCs w:val="22"/>
        </w:rPr>
        <w:t xml:space="preserve">Leg in twee zinnen uit waarom "het werkte in de sandbox" geen garantie is dat iets ook in Meridiaans eigen DEV-omgeving werkt.</w:t>
      </w:r>
    </w:p>
    <w:tbl>
      <w:tblPr>
        <w:tblW w:type="pct" w:w="100%"/>
        <w:tblBorders>
          <w:top w:val="single" w:color="D99A3D" w:sz="4"/>
          <w:left w:val="single" w:color="D99A3D" w:sz="4"/>
          <w:bottom w:val="single" w:color="D99A3D" w:sz="4"/>
          <w:right w:val="single" w:color="D99A3D" w:sz="4"/>
          <w:insideH w:val="single" w:color="auto" w:sz="4"/>
          <w:insideV w:val="single" w:color="auto" w:sz="4"/>
        </w:tblBorders>
      </w:tblPr>
      <w:tblGrid>
        <w:gridCol w:w="100"/>
      </w:tblGrid>
      <w:tr>
        <w:tc>
          <w:tcPr>
            <w:shd w:fill="1B2A4A" w:color="auto" w:val="clear"/>
            <w:tcMar>
              <w:top w:type="dxa" w:w="40"/>
              <w:left w:type="dxa" w:w="220"/>
              <w:bottom w:type="dxa" w:w="0"/>
              <w:right w:type="dxa" w:w="220"/>
            </w:tcMar>
          </w:tcPr>
          <w:p>
            <w:pPr>
              <w:spacing w:after="100"/>
            </w:pPr>
            <w:r>
              <w:rPr>
                <w:rFonts w:ascii="Georgia" w:cs="Georgia" w:eastAsia="Georgia" w:hAnsi="Georgia"/>
                <w:b/>
                <w:bCs/>
                <w:color w:val="FFFFFF"/>
                <w:sz w:val="22"/>
                <w:szCs w:val="22"/>
              </w:rPr>
              <w:t xml:space="preserve">UITWERKING</w:t>
            </w:r>
          </w:p>
        </w:tc>
      </w:tr>
      <w:tr>
        <w:tc>
          <w:tcPr>
            <w:shd w:fill="FBF3E7" w:color="auto" w:val="clear"/>
            <w:tcMar>
              <w:top w:type="dxa" w:w="160"/>
              <w:left w:type="dxa" w:w="220"/>
              <w:bottom w:type="dxa" w:w="160"/>
              <w:right w:type="dxa" w:w="220"/>
            </w:tcMar>
          </w:tcPr>
          <w:p>
            <w:pPr>
              <w:spacing w:after="100" w:line="280"/>
            </w:pPr>
            <w:r>
              <w:rPr>
                <w:rFonts w:ascii="Calibri" w:cs="Calibri" w:eastAsia="Calibri" w:hAnsi="Calibri"/>
                <w:sz w:val="22"/>
                <w:szCs w:val="22"/>
              </w:rPr>
              <w:t xml:space="preserve">De sandbox toont standaardgedrag van SAP zonder Meridiaan-specifieke configuratie (reader §3.2). Zodra in DEV configuratie en maatwerk wordt toegevoegd, kan gedrag afwijken — een uitzonderingsregel, een custom veld of een aangepaste procesflow kan het standaardgedrag overschrijven. De sandbox is een uitgangspunt, geen voorspelling.</w:t>
            </w:r>
          </w:p>
        </w:tc>
      </w:tr>
    </w:tbl>
    <w:p>
      <w:pPr>
        <w:pStyle w:val="Heading2"/>
        <w:spacing w:after="120" w:before="200"/>
      </w:pPr>
      <w:r>
        <w:rPr>
          <w:rFonts w:ascii="Georgia" w:cs="Georgia" w:eastAsia="Georgia" w:hAnsi="Georgia"/>
          <w:b/>
          <w:bCs/>
          <w:color w:val="2C5AA0"/>
          <w:sz w:val="28"/>
          <w:szCs w:val="28"/>
        </w:rPr>
        <w:t xml:space="preserve">Opdracht 2.3 — Tcode of Fiori-app? (15 min, tweetallen)</w:t>
      </w:r>
    </w:p>
    <w:p>
      <w:pPr>
        <w:spacing w:after="140" w:line="300"/>
      </w:pPr>
      <w:r>
        <w:rPr>
          <w:rFonts w:ascii="Calibri" w:cs="Calibri" w:eastAsia="Calibri" w:hAnsi="Calibri"/>
          <w:sz w:val="22"/>
          <w:szCs w:val="22"/>
        </w:rPr>
        <w:t xml:space="preserve">Voor elk van de volgende situaties: is dit typisch een aanwijzing voor een klassieke transactiecode-route, een Fiori-app-route, of kun je dat niet met zekerheid zeggen zonder het zelf te verifiëren?</w:t>
      </w:r>
    </w:p>
    <w:p>
      <w:pPr>
        <w:pStyle w:val="ListParagraph"/>
        <w:numPr>
          <w:ilvl w:val="0"/>
          <w:numId w:val="1"/>
        </w:numPr>
        <w:spacing w:after="80"/>
      </w:pPr>
      <w:r>
        <w:rPr>
          <w:rFonts w:ascii="Calibri" w:cs="Calibri" w:eastAsia="Calibri" w:hAnsi="Calibri"/>
          <w:sz w:val="22"/>
          <w:szCs w:val="22"/>
        </w:rPr>
        <w:t xml:space="preserve">Een consultant zegt: "ga naar VA01."</w:t>
      </w:r>
    </w:p>
    <w:p>
      <w:pPr>
        <w:pStyle w:val="ListParagraph"/>
        <w:numPr>
          <w:ilvl w:val="0"/>
          <w:numId w:val="1"/>
        </w:numPr>
        <w:spacing w:after="80"/>
      </w:pPr>
      <w:r>
        <w:rPr>
          <w:rFonts w:ascii="Calibri" w:cs="Calibri" w:eastAsia="Calibri" w:hAnsi="Calibri"/>
          <w:sz w:val="22"/>
          <w:szCs w:val="22"/>
        </w:rPr>
        <w:t xml:space="preserve">Een collega opent een taakgerichte tegel op een webscherm om een polis te muteren.</w:t>
      </w:r>
    </w:p>
    <w:p>
      <w:pPr>
        <w:pStyle w:val="ListParagraph"/>
        <w:numPr>
          <w:ilvl w:val="0"/>
          <w:numId w:val="1"/>
        </w:numPr>
        <w:spacing w:after="80"/>
      </w:pPr>
      <w:r>
        <w:rPr>
          <w:rFonts w:ascii="Calibri" w:cs="Calibri" w:eastAsia="Calibri" w:hAnsi="Calibri"/>
          <w:sz w:val="22"/>
          <w:szCs w:val="22"/>
        </w:rPr>
        <w:t xml:space="preserve">Een handleiding beschrijft "klik op het polisicoon in het startscherm."</w:t>
      </w:r>
    </w:p>
    <w:p>
      <w:pPr>
        <w:pStyle w:val="ListParagraph"/>
        <w:numPr>
          <w:ilvl w:val="0"/>
          <w:numId w:val="1"/>
        </w:numPr>
        <w:spacing w:after="80"/>
      </w:pPr>
      <w:r>
        <w:rPr>
          <w:rFonts w:ascii="Calibri" w:cs="Calibri" w:eastAsia="Calibri" w:hAnsi="Calibri"/>
          <w:sz w:val="22"/>
          <w:szCs w:val="22"/>
        </w:rPr>
        <w:t xml:space="preserve">Een oudere handleiding verwijst naar een viercijferige code die begint met een letter.</w:t>
      </w:r>
    </w:p>
    <w:tbl>
      <w:tblPr>
        <w:tblW w:type="pct" w:w="100%"/>
        <w:tblBorders>
          <w:top w:val="single" w:color="D99A3D" w:sz="4"/>
          <w:left w:val="single" w:color="D99A3D" w:sz="4"/>
          <w:bottom w:val="single" w:color="D99A3D" w:sz="4"/>
          <w:right w:val="single" w:color="D99A3D" w:sz="4"/>
          <w:insideH w:val="single" w:color="auto" w:sz="4"/>
          <w:insideV w:val="single" w:color="auto" w:sz="4"/>
        </w:tblBorders>
      </w:tblPr>
      <w:tblGrid>
        <w:gridCol w:w="100"/>
      </w:tblGrid>
      <w:tr>
        <w:tc>
          <w:tcPr>
            <w:shd w:fill="1B2A4A" w:color="auto" w:val="clear"/>
            <w:tcMar>
              <w:top w:type="dxa" w:w="40"/>
              <w:left w:type="dxa" w:w="220"/>
              <w:bottom w:type="dxa" w:w="0"/>
              <w:right w:type="dxa" w:w="220"/>
            </w:tcMar>
          </w:tcPr>
          <w:p>
            <w:pPr>
              <w:spacing w:after="100"/>
            </w:pPr>
            <w:r>
              <w:rPr>
                <w:rFonts w:ascii="Georgia" w:cs="Georgia" w:eastAsia="Georgia" w:hAnsi="Georgia"/>
                <w:b/>
                <w:bCs/>
                <w:color w:val="FFFFFF"/>
                <w:sz w:val="22"/>
                <w:szCs w:val="22"/>
              </w:rPr>
              <w:t xml:space="preserve">UITWERKING</w:t>
            </w:r>
          </w:p>
        </w:tc>
      </w:tr>
      <w:tr>
        <w:tc>
          <w:tcPr>
            <w:shd w:fill="FBF3E7" w:color="auto" w:val="clear"/>
            <w:tcMar>
              <w:top w:type="dxa" w:w="160"/>
              <w:left w:type="dxa" w:w="220"/>
              <w:bottom w:type="dxa" w:w="160"/>
              <w:right w:type="dxa" w:w="220"/>
            </w:tcMar>
          </w:tcPr>
          <w:p>
            <w:pPr>
              <w:spacing w:after="100" w:line="280"/>
            </w:pPr>
            <w:r>
              <w:rPr>
                <w:rFonts w:ascii="Calibri" w:cs="Calibri" w:eastAsia="Calibri" w:hAnsi="Calibri"/>
                <w:sz w:val="22"/>
                <w:szCs w:val="22"/>
              </w:rPr>
              <w:t xml:space="preserve">a. Transactiecode-route — een klassiek tcode-format.</w:t>
            </w:r>
          </w:p>
          <w:p>
            <w:pPr>
              <w:spacing w:after="100" w:line="280"/>
            </w:pPr>
            <w:r>
              <w:rPr>
                <w:rFonts w:ascii="Calibri" w:cs="Calibri" w:eastAsia="Calibri" w:hAnsi="Calibri"/>
                <w:sz w:val="22"/>
                <w:szCs w:val="22"/>
              </w:rPr>
              <w:t xml:space="preserve">b. Fiori-app-route — taakgerichte tegel is kenmerkend Fiori-taalgebruik.</w:t>
            </w:r>
          </w:p>
          <w:p>
            <w:pPr>
              <w:spacing w:after="100" w:line="280"/>
            </w:pPr>
            <w:r>
              <w:rPr>
                <w:rFonts w:ascii="Calibri" w:cs="Calibri" w:eastAsia="Calibri" w:hAnsi="Calibri"/>
                <w:sz w:val="22"/>
                <w:szCs w:val="22"/>
              </w:rPr>
              <w:t xml:space="preserve">c. Niet met zekerheid te zeggen — dit klinkt als Fiori maar kan ook een GUI-menupad beschrijven; navraag nodig (reader §4.3).</w:t>
            </w:r>
          </w:p>
          <w:p>
            <w:pPr>
              <w:spacing w:after="100" w:line="280"/>
            </w:pPr>
            <w:r>
              <w:rPr>
                <w:rFonts w:ascii="Calibri" w:cs="Calibri" w:eastAsia="Calibri" w:hAnsi="Calibri"/>
                <w:sz w:val="22"/>
                <w:szCs w:val="22"/>
              </w:rPr>
              <w:t xml:space="preserve">d. Transactiecode-route — het format (letter + cijfers) is kenmerkend.</w:t>
            </w:r>
          </w:p>
          <w:p>
            <w:pPr>
              <w:spacing w:after="100" w:line="280"/>
            </w:pPr>
            <w:r>
              <w:rPr>
                <w:rFonts w:ascii="Calibri" w:cs="Calibri" w:eastAsia="Calibri" w:hAnsi="Calibri"/>
                <w:sz w:val="22"/>
                <w:szCs w:val="22"/>
              </w:rPr>
              <w:t xml:space="preserve">Nabespreking: c is expres dubbelzinnig. De les is niet "leer het format uit je hoofd" maar "wanneer je twijfelt, vraag het na — beide routes zijn evengoed geldig."</w:t>
            </w:r>
          </w:p>
        </w:tc>
      </w:tr>
    </w:tbl>
    <w:p>
      <w:pPr>
        <w:pStyle w:val="Heading2"/>
        <w:spacing w:after="120" w:before="200"/>
      </w:pPr>
      <w:r>
        <w:rPr>
          <w:rFonts w:ascii="Georgia" w:cs="Georgia" w:eastAsia="Georgia" w:hAnsi="Georgia"/>
          <w:b/>
          <w:bCs/>
          <w:color w:val="2C5AA0"/>
          <w:sz w:val="28"/>
          <w:szCs w:val="28"/>
        </w:rPr>
        <w:t xml:space="preserve">Opdracht 2.4 — Een transport volgen (15 min, individueel)</w:t>
      </w:r>
    </w:p>
    <w:p>
      <w:pPr>
        <w:spacing w:after="140" w:line="300"/>
      </w:pPr>
      <w:r>
        <w:rPr>
          <w:rFonts w:ascii="Calibri" w:cs="Calibri" w:eastAsia="Calibri" w:hAnsi="Calibri"/>
          <w:sz w:val="22"/>
          <w:szCs w:val="22"/>
        </w:rPr>
        <w:t xml:space="preserve">Priya vertelt Sanne: "de uitzonderingsregel die Jelle bouwt, staat sinds gisteren in DEV en is vandaag goedgekeurd voor QA." Beantwoord:</w:t>
      </w:r>
    </w:p>
    <w:p>
      <w:pPr>
        <w:pStyle w:val="ListParagraph"/>
        <w:numPr>
          <w:ilvl w:val="0"/>
          <w:numId w:val="1"/>
        </w:numPr>
        <w:spacing w:after="80"/>
      </w:pPr>
      <w:r>
        <w:rPr>
          <w:rFonts w:ascii="Calibri" w:cs="Calibri" w:eastAsia="Calibri" w:hAnsi="Calibri"/>
          <w:sz w:val="22"/>
          <w:szCs w:val="22"/>
        </w:rPr>
        <w:t xml:space="preserve">Staat de regel al in productie? Onderbouw.</w:t>
      </w:r>
    </w:p>
    <w:p>
      <w:pPr>
        <w:pStyle w:val="ListParagraph"/>
        <w:numPr>
          <w:ilvl w:val="0"/>
          <w:numId w:val="1"/>
        </w:numPr>
        <w:spacing w:after="80"/>
      </w:pPr>
      <w:r>
        <w:rPr>
          <w:rFonts w:ascii="Calibri" w:cs="Calibri" w:eastAsia="Calibri" w:hAnsi="Calibri"/>
          <w:sz w:val="22"/>
          <w:szCs w:val="22"/>
        </w:rPr>
        <w:t xml:space="preserve">Welke stap moet nog gebeuren vóór de regel in PRD staat?</w:t>
      </w:r>
    </w:p>
    <w:p>
      <w:pPr>
        <w:pStyle w:val="ListParagraph"/>
        <w:numPr>
          <w:ilvl w:val="0"/>
          <w:numId w:val="1"/>
        </w:numPr>
        <w:spacing w:after="80"/>
      </w:pPr>
      <w:r>
        <w:rPr>
          <w:rFonts w:ascii="Calibri" w:cs="Calibri" w:eastAsia="Calibri" w:hAnsi="Calibri"/>
          <w:sz w:val="22"/>
          <w:szCs w:val="22"/>
        </w:rPr>
        <w:t xml:space="preserve">Als een polisadministratiemedewerker morgen in PRD zoekt naar deze regel en haar niet vindt, is dat dan een storing?</w:t>
      </w:r>
    </w:p>
    <w:tbl>
      <w:tblPr>
        <w:tblW w:type="pct" w:w="100%"/>
        <w:tblBorders>
          <w:top w:val="single" w:color="D99A3D" w:sz="4"/>
          <w:left w:val="single" w:color="D99A3D" w:sz="4"/>
          <w:bottom w:val="single" w:color="D99A3D" w:sz="4"/>
          <w:right w:val="single" w:color="D99A3D" w:sz="4"/>
          <w:insideH w:val="single" w:color="auto" w:sz="4"/>
          <w:insideV w:val="single" w:color="auto" w:sz="4"/>
        </w:tblBorders>
      </w:tblPr>
      <w:tblGrid>
        <w:gridCol w:w="100"/>
      </w:tblGrid>
      <w:tr>
        <w:tc>
          <w:tcPr>
            <w:shd w:fill="1B2A4A" w:color="auto" w:val="clear"/>
            <w:tcMar>
              <w:top w:type="dxa" w:w="40"/>
              <w:left w:type="dxa" w:w="220"/>
              <w:bottom w:type="dxa" w:w="0"/>
              <w:right w:type="dxa" w:w="220"/>
            </w:tcMar>
          </w:tcPr>
          <w:p>
            <w:pPr>
              <w:spacing w:after="100"/>
            </w:pPr>
            <w:r>
              <w:rPr>
                <w:rFonts w:ascii="Georgia" w:cs="Georgia" w:eastAsia="Georgia" w:hAnsi="Georgia"/>
                <w:b/>
                <w:bCs/>
                <w:color w:val="FFFFFF"/>
                <w:sz w:val="22"/>
                <w:szCs w:val="22"/>
              </w:rPr>
              <w:t xml:space="preserve">UITWERKING</w:t>
            </w:r>
          </w:p>
        </w:tc>
      </w:tr>
      <w:tr>
        <w:tc>
          <w:tcPr>
            <w:shd w:fill="FBF3E7" w:color="auto" w:val="clear"/>
            <w:tcMar>
              <w:top w:type="dxa" w:w="160"/>
              <w:left w:type="dxa" w:w="220"/>
              <w:bottom w:type="dxa" w:w="160"/>
              <w:right w:type="dxa" w:w="220"/>
            </w:tcMar>
          </w:tcPr>
          <w:p>
            <w:pPr>
              <w:spacing w:after="100" w:line="280"/>
            </w:pPr>
            <w:r>
              <w:rPr>
                <w:rFonts w:ascii="Calibri" w:cs="Calibri" w:eastAsia="Calibri" w:hAnsi="Calibri"/>
                <w:sz w:val="22"/>
                <w:szCs w:val="22"/>
              </w:rPr>
              <w:t xml:space="preserve">a. Nee. Goedgekeurd voor QA betekent dat de regel de stap naar QA maakt, niet naar PRD.</w:t>
            </w:r>
          </w:p>
          <w:p>
            <w:pPr>
              <w:spacing w:after="100" w:line="280"/>
            </w:pPr>
            <w:r>
              <w:rPr>
                <w:rFonts w:ascii="Calibri" w:cs="Calibri" w:eastAsia="Calibri" w:hAnsi="Calibri"/>
                <w:sz w:val="22"/>
                <w:szCs w:val="22"/>
              </w:rPr>
              <w:t xml:space="preserve">b. Een transport van QA naar PRD, na een eigen goedkeurings- en acceptatiemoment in QA (reader §5).</w:t>
            </w:r>
          </w:p>
          <w:p>
            <w:pPr>
              <w:spacing w:after="100" w:line="280"/>
            </w:pPr>
            <w:r>
              <w:rPr>
                <w:rFonts w:ascii="Calibri" w:cs="Calibri" w:eastAsia="Calibri" w:hAnsi="Calibri"/>
                <w:sz w:val="22"/>
                <w:szCs w:val="22"/>
              </w:rPr>
              <w:t xml:space="preserve">c. Nee — dit is verwacht gedrag, geen storing. De medewerker verwart "in het systeem" met "in productie" — precies de valkuil uit reader §5, kernzin.</w:t>
            </w:r>
          </w:p>
        </w:tc>
      </w:tr>
    </w:tbl>
    <w:p>
      <w:pPr>
        <w:pStyle w:val="Heading2"/>
        <w:spacing w:after="120" w:before="200"/>
      </w:pPr>
      <w:r>
        <w:rPr>
          <w:rFonts w:ascii="Georgia" w:cs="Georgia" w:eastAsia="Georgia" w:hAnsi="Georgia"/>
          <w:b/>
          <w:bCs/>
          <w:color w:val="2C5AA0"/>
          <w:sz w:val="28"/>
          <w:szCs w:val="28"/>
        </w:rPr>
        <w:t xml:space="preserve">Opdracht 2.5 — Bevindingen correct duiden (15 min, groepjes van drie)</w:t>
      </w:r>
    </w:p>
    <w:p>
      <w:pPr>
        <w:spacing w:after="140" w:line="300"/>
      </w:pPr>
      <w:r>
        <w:rPr>
          <w:rFonts w:ascii="Calibri" w:cs="Calibri" w:eastAsia="Calibri" w:hAnsi="Calibri"/>
          <w:sz w:val="22"/>
          <w:szCs w:val="22"/>
        </w:rPr>
        <w:t xml:space="preserve">Astrid Poelman (applicatiebeheer, zie hoofddossier) meldt: "de nieuwe uitzonderingsregel werkt niet." Bedenk drie vragen die Sanne haar zou moeten stellen vóórdat dit als een probleem wordt behandeld.</w:t>
      </w:r>
    </w:p>
    <w:tbl>
      <w:tblPr>
        <w:tblW w:type="pct" w:w="100%"/>
        <w:tblBorders>
          <w:top w:val="single" w:color="D99A3D" w:sz="4"/>
          <w:left w:val="single" w:color="D99A3D" w:sz="4"/>
          <w:bottom w:val="single" w:color="D99A3D" w:sz="4"/>
          <w:right w:val="single" w:color="D99A3D" w:sz="4"/>
          <w:insideH w:val="single" w:color="auto" w:sz="4"/>
          <w:insideV w:val="single" w:color="auto" w:sz="4"/>
        </w:tblBorders>
      </w:tblPr>
      <w:tblGrid>
        <w:gridCol w:w="100"/>
      </w:tblGrid>
      <w:tr>
        <w:tc>
          <w:tcPr>
            <w:shd w:fill="1B2A4A" w:color="auto" w:val="clear"/>
            <w:tcMar>
              <w:top w:type="dxa" w:w="40"/>
              <w:left w:type="dxa" w:w="220"/>
              <w:bottom w:type="dxa" w:w="0"/>
              <w:right w:type="dxa" w:w="220"/>
            </w:tcMar>
          </w:tcPr>
          <w:p>
            <w:pPr>
              <w:spacing w:after="100"/>
            </w:pPr>
            <w:r>
              <w:rPr>
                <w:rFonts w:ascii="Georgia" w:cs="Georgia" w:eastAsia="Georgia" w:hAnsi="Georgia"/>
                <w:b/>
                <w:bCs/>
                <w:color w:val="FFFFFF"/>
                <w:sz w:val="22"/>
                <w:szCs w:val="22"/>
              </w:rPr>
              <w:t xml:space="preserve">UITWERKING</w:t>
            </w:r>
          </w:p>
        </w:tc>
      </w:tr>
      <w:tr>
        <w:tc>
          <w:tcPr>
            <w:shd w:fill="FBF3E7" w:color="auto" w:val="clear"/>
            <w:tcMar>
              <w:top w:type="dxa" w:w="160"/>
              <w:left w:type="dxa" w:w="220"/>
              <w:bottom w:type="dxa" w:w="160"/>
              <w:right w:type="dxa" w:w="220"/>
            </w:tcMar>
          </w:tcPr>
          <w:p>
            <w:pPr>
              <w:spacing w:after="100" w:line="280"/>
            </w:pPr>
            <w:r>
              <w:rPr>
                <w:rFonts w:ascii="Calibri" w:cs="Calibri" w:eastAsia="Calibri" w:hAnsi="Calibri"/>
                <w:sz w:val="22"/>
                <w:szCs w:val="22"/>
              </w:rPr>
              <w:t xml:space="preserve">(Uitwerking — richtinggevend)</w:t>
            </w:r>
          </w:p>
          <w:p>
            <w:pPr>
              <w:spacing w:after="100" w:line="280"/>
            </w:pPr>
            <w:r>
              <w:rPr>
                <w:rFonts w:ascii="Calibri" w:cs="Calibri" w:eastAsia="Calibri" w:hAnsi="Calibri"/>
                <w:sz w:val="22"/>
                <w:szCs w:val="22"/>
              </w:rPr>
              <w:t xml:space="preserve">Verwachte of vergelijkbare vragen:</w:t>
            </w:r>
          </w:p>
          <w:p>
            <w:pPr>
              <w:spacing w:after="100" w:line="280"/>
            </w:pPr>
            <w:r>
              <w:rPr>
                <w:rFonts w:ascii="Calibri" w:cs="Calibri" w:eastAsia="Calibri" w:hAnsi="Calibri"/>
                <w:sz w:val="22"/>
                <w:szCs w:val="22"/>
              </w:rPr>
              <w:t xml:space="preserve">- "In welke omgeving zag je dit — sandbox, DEV, QA of PRD?"</w:t>
            </w:r>
          </w:p>
          <w:p>
            <w:pPr>
              <w:spacing w:after="100" w:line="280"/>
            </w:pPr>
            <w:r>
              <w:rPr>
                <w:rFonts w:ascii="Calibri" w:cs="Calibri" w:eastAsia="Calibri" w:hAnsi="Calibri"/>
                <w:sz w:val="22"/>
                <w:szCs w:val="22"/>
              </w:rPr>
              <w:t xml:space="preserve">- "Is de regel daar al getransporteerd naartoe, of verwachtte je hem daar zonder dat te checken?"</w:t>
            </w:r>
          </w:p>
          <w:p>
            <w:pPr>
              <w:spacing w:after="100" w:line="280"/>
            </w:pPr>
            <w:r>
              <w:rPr>
                <w:rFonts w:ascii="Calibri" w:cs="Calibri" w:eastAsia="Calibri" w:hAnsi="Calibri"/>
                <w:sz w:val="22"/>
                <w:szCs w:val="22"/>
              </w:rPr>
              <w:t xml:space="preserve">- "Kun je het exacte scherm of de exacte stap aanwijzen — was dat via een tcode of een Fiori-app, en welke?"</w:t>
            </w:r>
          </w:p>
          <w:p>
            <w:pPr>
              <w:spacing w:after="100" w:line="280"/>
            </w:pPr>
            <w:r>
              <w:rPr>
                <w:rFonts w:ascii="Calibri" w:cs="Calibri" w:eastAsia="Calibri" w:hAnsi="Calibri"/>
                <w:sz w:val="22"/>
                <w:szCs w:val="22"/>
              </w:rPr>
              <w:t xml:space="preserve">Nabespreking: dit is precies de vaardigheid van dit hele deel samengevat in één praktijksituatie — "het werkt niet" is pas bruikbare informatie zodra je weet wáár.</w:t>
            </w:r>
          </w:p>
        </w:tc>
      </w:tr>
    </w:tbl>
    <w:p>
      <w:pPr>
        <w:pStyle w:val="Heading2"/>
        <w:spacing w:after="120" w:before="200"/>
      </w:pPr>
      <w:r>
        <w:rPr>
          <w:rFonts w:ascii="Georgia" w:cs="Georgia" w:eastAsia="Georgia" w:hAnsi="Georgia"/>
          <w:b/>
          <w:bCs/>
          <w:color w:val="2C5AA0"/>
          <w:sz w:val="28"/>
          <w:szCs w:val="28"/>
        </w:rPr>
        <w:t xml:space="preserve">Opdracht 2.6 — Je eigen navigatieroute (10 min, individueel, huiswerk)</w:t>
      </w:r>
    </w:p>
    <w:p>
      <w:pPr>
        <w:spacing w:after="140" w:line="300"/>
      </w:pPr>
      <w:r>
        <w:rPr>
          <w:rFonts w:ascii="Calibri" w:cs="Calibri" w:eastAsia="Calibri" w:hAnsi="Calibri"/>
          <w:sz w:val="22"/>
          <w:szCs w:val="22"/>
        </w:rPr>
        <w:t xml:space="preserve">Als je toegang hebt tot een SAP-sandbox of testomgeving (via je organisatie of een oefenomgeving): navigeer naar één willekeurige functie via zowel een tcode als, indien beschikbaar, een Fiori-app. Noteer wat hetzelfde is en wat verschilt in wat je ziet. Geen toegang? Beschrijf in plaats daarvan hoe navigatie in een ander bedrijfssysteem dat je kent, is opgebouwd (menupaden versus taakgerichte apps) en wat dat gemeen heeft met dit deel.</w:t>
      </w:r>
    </w:p>
    <w:tbl>
      <w:tblPr>
        <w:tblW w:type="pct" w:w="100%"/>
        <w:tblBorders>
          <w:top w:val="single" w:color="D99A3D" w:sz="4"/>
          <w:left w:val="single" w:color="D99A3D" w:sz="4"/>
          <w:bottom w:val="single" w:color="D99A3D" w:sz="4"/>
          <w:right w:val="single" w:color="D99A3D" w:sz="4"/>
          <w:insideH w:val="single" w:color="auto" w:sz="4"/>
          <w:insideV w:val="single" w:color="auto" w:sz="4"/>
        </w:tblBorders>
      </w:tblPr>
      <w:tblGrid>
        <w:gridCol w:w="100"/>
      </w:tblGrid>
      <w:tr>
        <w:tc>
          <w:tcPr>
            <w:shd w:fill="1B2A4A" w:color="auto" w:val="clear"/>
            <w:tcMar>
              <w:top w:type="dxa" w:w="40"/>
              <w:left w:type="dxa" w:w="220"/>
              <w:bottom w:type="dxa" w:w="0"/>
              <w:right w:type="dxa" w:w="220"/>
            </w:tcMar>
          </w:tcPr>
          <w:p>
            <w:pPr>
              <w:spacing w:after="100"/>
            </w:pPr>
            <w:r>
              <w:rPr>
                <w:rFonts w:ascii="Georgia" w:cs="Georgia" w:eastAsia="Georgia" w:hAnsi="Georgia"/>
                <w:b/>
                <w:bCs/>
                <w:color w:val="FFFFFF"/>
                <w:sz w:val="22"/>
                <w:szCs w:val="22"/>
              </w:rPr>
              <w:t xml:space="preserve">UITWERKING</w:t>
            </w:r>
          </w:p>
        </w:tc>
      </w:tr>
      <w:tr>
        <w:tc>
          <w:tcPr>
            <w:shd w:fill="FBF3E7" w:color="auto" w:val="clear"/>
            <w:tcMar>
              <w:top w:type="dxa" w:w="160"/>
              <w:left w:type="dxa" w:w="220"/>
              <w:bottom w:type="dxa" w:w="160"/>
              <w:right w:type="dxa" w:w="220"/>
            </w:tcMar>
          </w:tcPr>
          <w:p>
            <w:pPr>
              <w:spacing w:after="100" w:line="280"/>
            </w:pPr>
            <w:r>
              <w:rPr>
                <w:rFonts w:ascii="Calibri" w:cs="Calibri" w:eastAsia="Calibri" w:hAnsi="Calibri"/>
                <w:sz w:val="22"/>
                <w:szCs w:val="22"/>
              </w:rPr>
              <w:t xml:space="preserve">(Uitwerking — begeleidingsnotitie)</w:t>
            </w:r>
          </w:p>
          <w:p>
            <w:pPr>
              <w:spacing w:after="100" w:line="280"/>
            </w:pPr>
            <w:r>
              <w:rPr>
                <w:rFonts w:ascii="Calibri" w:cs="Calibri" w:eastAsia="Calibri" w:hAnsi="Calibri"/>
                <w:sz w:val="22"/>
                <w:szCs w:val="22"/>
              </w:rPr>
              <w:t xml:space="preserve">Geen vast antwoord; doel is zelf ervaren dat de onderliggende functionaliteit vaak hetzelfde is ondanks een andere ingang. Bespreek in de volgende sessie kort wie welke route koos en wat opviel.</w:t>
            </w:r>
          </w:p>
        </w:tc>
      </w:tr>
    </w:tbl>
    <w:p>
      <w:pPr>
        <w:pStyle w:val="Heading2"/>
        <w:spacing w:after="120" w:before="200"/>
      </w:pPr>
      <w:r>
        <w:rPr>
          <w:rFonts w:ascii="Georgia" w:cs="Georgia" w:eastAsia="Georgia" w:hAnsi="Georgia"/>
          <w:b/>
          <w:bCs/>
          <w:color w:val="2C5AA0"/>
          <w:sz w:val="28"/>
          <w:szCs w:val="28"/>
        </w:rPr>
        <w:t xml:space="preserve">Oefentoets — tien vragen</w:t>
      </w:r>
    </w:p>
    <w:p>
      <w:pPr>
        <w:spacing w:after="140" w:line="300"/>
      </w:pPr>
      <w:r>
        <w:rPr>
          <w:rFonts w:ascii="Calibri" w:cs="Calibri" w:eastAsia="Calibri" w:hAnsi="Calibri"/>
          <w:sz w:val="22"/>
          <w:szCs w:val="22"/>
        </w:rPr>
        <w:t xml:space="preserve">1. Wat is het belangrijkste kenmerk van een sandbox-omgeving? A. Zij bevat altijd productiedata. B. Zij is geïsoleerd en toont standaardgedrag zonder organisatiespecifieke inrichting. C. Zij is de laatste stap vóór productie. D. Zij wordt nooit gebruikt door BA's.</w:t>
      </w:r>
    </w:p>
    <w:p>
      <w:pPr>
        <w:spacing w:after="140" w:line="300"/>
      </w:pPr>
      <w:r>
        <w:rPr>
          <w:rFonts w:ascii="Calibri" w:cs="Calibri" w:eastAsia="Calibri" w:hAnsi="Calibri"/>
          <w:sz w:val="22"/>
          <w:szCs w:val="22"/>
        </w:rPr>
        <w:t xml:space="preserve">2. In welke volgorde stromen wijzigingen typisch door het systeemlandschap? A. QA → DEV → PRD B. DEV → PRD → QA C. DEV → QA → PRD D. PRD → QA → DEV</w:t>
      </w:r>
    </w:p>
    <w:p>
      <w:pPr>
        <w:spacing w:after="140" w:line="300"/>
      </w:pPr>
      <w:r>
        <w:rPr>
          <w:rFonts w:ascii="Calibri" w:cs="Calibri" w:eastAsia="Calibri" w:hAnsi="Calibri"/>
          <w:sz w:val="22"/>
          <w:szCs w:val="22"/>
        </w:rPr>
        <w:t xml:space="preserve">3. Wat betekent het als een consultant zegt "dat staat al in DEV"? A. Het staat gegarandeerd ook in PRD. B. Het staat nog nergens. C. Het is gebouwd of geconfigureerd, maar nog niet per se doorgezet naar QA of PRD. D. Het is alleen zichtbaar voor ontwikkelaars.</w:t>
      </w:r>
    </w:p>
    <w:p>
      <w:pPr>
        <w:spacing w:after="140" w:line="300"/>
      </w:pPr>
      <w:r>
        <w:rPr>
          <w:rFonts w:ascii="Calibri" w:cs="Calibri" w:eastAsia="Calibri" w:hAnsi="Calibri"/>
          <w:sz w:val="22"/>
          <w:szCs w:val="22"/>
        </w:rPr>
        <w:t xml:space="preserve">4. Wat is een transactiecode? A. Een wachtwoord voor het systeem. B. Een korte code waarmee je in de klassieke GUI direct naar een functie springt. C. Een unieke identificatie van een polis. D. Een foutmelding.</w:t>
      </w:r>
    </w:p>
    <w:p>
      <w:pPr>
        <w:spacing w:after="140" w:line="300"/>
      </w:pPr>
      <w:r>
        <w:rPr>
          <w:rFonts w:ascii="Calibri" w:cs="Calibri" w:eastAsia="Calibri" w:hAnsi="Calibri"/>
          <w:sz w:val="22"/>
          <w:szCs w:val="22"/>
        </w:rPr>
        <w:t xml:space="preserve">5. Wat is het belangrijkste verschil tussen een tcode-route en een Fiori-app-route? A. Zij leiden altijd tot een ander resultaat. B. De ingang verschilt; de onderliggende functionaliteit kan dezelfde zijn. C. Fiori-apps bestaan alleen in productie. D. Transactiecodes zijn sneller.</w:t>
      </w:r>
    </w:p>
    <w:p>
      <w:pPr>
        <w:spacing w:after="140" w:line="300"/>
      </w:pPr>
      <w:r>
        <w:rPr>
          <w:rFonts w:ascii="Calibri" w:cs="Calibri" w:eastAsia="Calibri" w:hAnsi="Calibri"/>
          <w:sz w:val="22"/>
          <w:szCs w:val="22"/>
        </w:rPr>
        <w:t xml:space="preserve">6. Wat is een transport? A. Een fysieke verhuizing van serverhardware. B. Een pakket wijzigingen dat expliciet wordt overgezet tussen omgevingen. C. Een type Fiori-app. D. Een foutmelding bij het inloggen.</w:t>
      </w:r>
    </w:p>
    <w:p>
      <w:pPr>
        <w:spacing w:after="140" w:line="300"/>
      </w:pPr>
      <w:r>
        <w:rPr>
          <w:rFonts w:ascii="Calibri" w:cs="Calibri" w:eastAsia="Calibri" w:hAnsi="Calibri"/>
          <w:sz w:val="22"/>
          <w:szCs w:val="22"/>
        </w:rPr>
        <w:t xml:space="preserve">7. Een wijziging is goedgekeurd voor QA maar de test daar is nog niet uitgevoerd. Staat de wijziging al in PRD? A. Ja, automatisch. B. Nee, dat vergt een aparte transportstap na goedkeuring in QA. C. Alleen als de ontwikkelaar dat handmatig meldt. D. Ja, tenzij expliciet geblokkeerd.</w:t>
      </w:r>
    </w:p>
    <w:p>
      <w:pPr>
        <w:spacing w:after="140" w:line="300"/>
      </w:pPr>
      <w:r>
        <w:rPr>
          <w:rFonts w:ascii="Calibri" w:cs="Calibri" w:eastAsia="Calibri" w:hAnsi="Calibri"/>
          <w:sz w:val="22"/>
          <w:szCs w:val="22"/>
        </w:rPr>
        <w:t xml:space="preserve">8. Een medewerker meldt "het werkt niet" zonder omgeving te noemen. Wat is de meest passende eerste reactie van een BA? A. Meteen een storing melden. B. Vragen in welke omgeving dit is waargenomen. C. Aannemen dat het om productie gaat. D. De melding negeren tot het opnieuw gebeurt.</w:t>
      </w:r>
    </w:p>
    <w:p>
      <w:pPr>
        <w:spacing w:after="140" w:line="300"/>
      </w:pPr>
      <w:r>
        <w:rPr>
          <w:rFonts w:ascii="Calibri" w:cs="Calibri" w:eastAsia="Calibri" w:hAnsi="Calibri"/>
          <w:sz w:val="22"/>
          <w:szCs w:val="22"/>
        </w:rPr>
        <w:t xml:space="preserve">9. Waarom is "het staat in het systeem" een onvolledige uitspraak? A. Omdat systemen vaak offline zijn. B. Omdat niet duidelijk is in welke omgeving (sandbox/DEV/QA/PRD) dit geldt. C. Omdat alleen consultants dit mogen beoordelen. D. Omdat het altijd om een fout gaat.</w:t>
      </w:r>
    </w:p>
    <w:p>
      <w:pPr>
        <w:spacing w:after="140" w:line="300"/>
      </w:pPr>
      <w:r>
        <w:rPr>
          <w:rFonts w:ascii="Calibri" w:cs="Calibri" w:eastAsia="Calibri" w:hAnsi="Calibri"/>
          <w:sz w:val="22"/>
          <w:szCs w:val="22"/>
        </w:rPr>
        <w:t xml:space="preserve">10. Moet een BA tcodes uit het hoofd kennen? A. Ja, dat is de kern van dit deel. B. Nee — het gaat om het weten dát deze route bestaat en met wie je erover kunt spreken, niet om memoriseren. C. Alleen als hij ook wil configureren. D. Ja, anders kan hij niet navigeren.</w:t>
      </w:r>
    </w:p>
    <w:tbl>
      <w:tblPr>
        <w:tblW w:type="pct" w:w="100%"/>
        <w:tblBorders>
          <w:top w:val="single" w:color="D99A3D" w:sz="4"/>
          <w:left w:val="single" w:color="D99A3D" w:sz="4"/>
          <w:bottom w:val="single" w:color="D99A3D" w:sz="4"/>
          <w:right w:val="single" w:color="D99A3D" w:sz="4"/>
          <w:insideH w:val="single" w:color="auto" w:sz="4"/>
          <w:insideV w:val="single" w:color="auto" w:sz="4"/>
        </w:tblBorders>
      </w:tblPr>
      <w:tblGrid>
        <w:gridCol w:w="100"/>
      </w:tblGrid>
      <w:tr>
        <w:tc>
          <w:tcPr>
            <w:shd w:fill="1B2A4A" w:color="auto" w:val="clear"/>
            <w:tcMar>
              <w:top w:type="dxa" w:w="40"/>
              <w:left w:type="dxa" w:w="220"/>
              <w:bottom w:type="dxa" w:w="0"/>
              <w:right w:type="dxa" w:w="220"/>
            </w:tcMar>
          </w:tcPr>
          <w:p>
            <w:pPr>
              <w:spacing w:after="100"/>
            </w:pPr>
            <w:r>
              <w:rPr>
                <w:rFonts w:ascii="Georgia" w:cs="Georgia" w:eastAsia="Georgia" w:hAnsi="Georgia"/>
                <w:b/>
                <w:bCs/>
                <w:color w:val="FFFFFF"/>
                <w:sz w:val="22"/>
                <w:szCs w:val="22"/>
              </w:rPr>
              <w:t xml:space="preserve">UITWERKING</w:t>
            </w:r>
          </w:p>
        </w:tc>
      </w:tr>
      <w:tr>
        <w:tc>
          <w:tcPr>
            <w:shd w:fill="FBF3E7" w:color="auto" w:val="clear"/>
            <w:tcMar>
              <w:top w:type="dxa" w:w="160"/>
              <w:left w:type="dxa" w:w="220"/>
              <w:bottom w:type="dxa" w:w="160"/>
              <w:right w:type="dxa" w:w="220"/>
            </w:tcMar>
          </w:tcPr>
          <w:p>
            <w:pPr>
              <w:spacing w:after="100" w:line="280"/>
            </w:pPr>
            <w:r>
              <w:rPr>
                <w:rFonts w:ascii="Calibri" w:cs="Calibri" w:eastAsia="Calibri" w:hAnsi="Calibri"/>
                <w:sz w:val="22"/>
                <w:szCs w:val="22"/>
              </w:rPr>
              <w:t xml:space="preserve">(Antwoorden en toelichting)</w:t>
            </w:r>
          </w:p>
          <w:p>
            <w:pPr>
              <w:spacing w:after="100" w:line="280"/>
            </w:pPr>
            <w:r>
              <w:rPr>
                <w:rFonts w:ascii="Calibri" w:cs="Calibri" w:eastAsia="Calibri" w:hAnsi="Calibri"/>
                <w:sz w:val="22"/>
                <w:szCs w:val="22"/>
              </w:rPr>
              <w:t xml:space="preserve">1. B. Reader §3.2.</w:t>
            </w:r>
          </w:p>
          <w:p>
            <w:pPr>
              <w:spacing w:after="100" w:line="280"/>
            </w:pPr>
            <w:r>
              <w:rPr>
                <w:rFonts w:ascii="Calibri" w:cs="Calibri" w:eastAsia="Calibri" w:hAnsi="Calibri"/>
                <w:sz w:val="22"/>
                <w:szCs w:val="22"/>
              </w:rPr>
              <w:t xml:space="preserve">2. C. Reader §3.1.</w:t>
            </w:r>
          </w:p>
          <w:p>
            <w:pPr>
              <w:spacing w:after="100" w:line="280"/>
            </w:pPr>
            <w:r>
              <w:rPr>
                <w:rFonts w:ascii="Calibri" w:cs="Calibri" w:eastAsia="Calibri" w:hAnsi="Calibri"/>
                <w:sz w:val="22"/>
                <w:szCs w:val="22"/>
              </w:rPr>
              <w:t xml:space="preserve">3. C. Reader §5.</w:t>
            </w:r>
          </w:p>
          <w:p>
            <w:pPr>
              <w:spacing w:after="100" w:line="280"/>
            </w:pPr>
            <w:r>
              <w:rPr>
                <w:rFonts w:ascii="Calibri" w:cs="Calibri" w:eastAsia="Calibri" w:hAnsi="Calibri"/>
                <w:sz w:val="22"/>
                <w:szCs w:val="22"/>
              </w:rPr>
              <w:t xml:space="preserve">4. B. Reader §4.1.</w:t>
            </w:r>
          </w:p>
          <w:p>
            <w:pPr>
              <w:spacing w:after="100" w:line="280"/>
            </w:pPr>
            <w:r>
              <w:rPr>
                <w:rFonts w:ascii="Calibri" w:cs="Calibri" w:eastAsia="Calibri" w:hAnsi="Calibri"/>
                <w:sz w:val="22"/>
                <w:szCs w:val="22"/>
              </w:rPr>
              <w:t xml:space="preserve">5. B. Reader §4.2-4.3.</w:t>
            </w:r>
          </w:p>
          <w:p>
            <w:pPr>
              <w:spacing w:after="100" w:line="280"/>
            </w:pPr>
            <w:r>
              <w:rPr>
                <w:rFonts w:ascii="Calibri" w:cs="Calibri" w:eastAsia="Calibri" w:hAnsi="Calibri"/>
                <w:sz w:val="22"/>
                <w:szCs w:val="22"/>
              </w:rPr>
              <w:t xml:space="preserve">6. B. Reader §5.</w:t>
            </w:r>
          </w:p>
          <w:p>
            <w:pPr>
              <w:spacing w:after="100" w:line="280"/>
            </w:pPr>
            <w:r>
              <w:rPr>
                <w:rFonts w:ascii="Calibri" w:cs="Calibri" w:eastAsia="Calibri" w:hAnsi="Calibri"/>
                <w:sz w:val="22"/>
                <w:szCs w:val="22"/>
              </w:rPr>
              <w:t xml:space="preserve">7. B. Reader §5, opdracht 2.4.</w:t>
            </w:r>
          </w:p>
          <w:p>
            <w:pPr>
              <w:spacing w:after="100" w:line="280"/>
            </w:pPr>
            <w:r>
              <w:rPr>
                <w:rFonts w:ascii="Calibri" w:cs="Calibri" w:eastAsia="Calibri" w:hAnsi="Calibri"/>
                <w:sz w:val="22"/>
                <w:szCs w:val="22"/>
              </w:rPr>
              <w:t xml:space="preserve">8. B. Reader §3.3 en opdracht 2.5.</w:t>
            </w:r>
          </w:p>
          <w:p>
            <w:pPr>
              <w:spacing w:after="100" w:line="280"/>
            </w:pPr>
            <w:r>
              <w:rPr>
                <w:rFonts w:ascii="Calibri" w:cs="Calibri" w:eastAsia="Calibri" w:hAnsi="Calibri"/>
                <w:sz w:val="22"/>
                <w:szCs w:val="22"/>
              </w:rPr>
              <w:t xml:space="preserve">9. B. Reader §5, kernzin.</w:t>
            </w:r>
          </w:p>
          <w:p>
            <w:pPr>
              <w:spacing w:after="100" w:line="280"/>
            </w:pPr>
            <w:r>
              <w:rPr>
                <w:rFonts w:ascii="Calibri" w:cs="Calibri" w:eastAsia="Calibri" w:hAnsi="Calibri"/>
                <w:sz w:val="22"/>
                <w:szCs w:val="22"/>
              </w:rPr>
              <w:t xml:space="preserve">10. B. Reader §4.1, deel 1 §4.3 (disclaimer-methode).</w:t>
            </w:r>
          </w:p>
        </w:tc>
      </w:tr>
    </w:tbl>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88888"/>
        <w:sz w:val="16"/>
        <w:szCs w:val="16"/>
      </w:rPr>
      <w:t xml:space="preserve">Pagina </w:t>
    </w:r>
    <w:r>
      <w:rPr>
        <w:rFonts w:ascii="Calibri" w:cs="Calibri" w:eastAsia="Calibri" w:hAnsi="Calibri"/>
        <w:color w:val="888888"/>
        <w:sz w:val="16"/>
        <w:szCs w:val="16"/>
      </w:rPr>
      <w:fldChar w:fldCharType="begin"/>
      <w:instrText xml:space="preserve">PAGE</w:instrText>
      <w:fldChar w:fldCharType="separate"/>
      <w:fldChar w:fldCharType="end"/>
    </w:r>
    <w:r>
      <w:rPr>
        <w:rFonts w:ascii="Calibri" w:cs="Calibri" w:eastAsia="Calibri" w:hAnsi="Calibri"/>
        <w:color w:val="888888"/>
        <w:sz w:val="16"/>
        <w:szCs w:val="16"/>
      </w:rPr>
      <w:t xml:space="preserve"> van </w:t>
    </w:r>
    <w:r>
      <w:rPr>
        <w:rFonts w:ascii="Calibri" w:cs="Calibri" w:eastAsia="Calibri" w:hAnsi="Calibri"/>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C5AA0" w:sz="6" w:space="4"/>
      </w:pBdr>
      <w:jc w:val="right"/>
    </w:pPr>
    <w:r>
      <w:rPr>
        <w:rFonts w:ascii="Calibri" w:cs="Calibri" w:eastAsia="Calibri" w:hAnsi="Calibri"/>
        <w:color w:val="2C5AA0"/>
        <w:sz w:val="16"/>
        <w:szCs w:val="16"/>
      </w:rPr>
      <w:t xml:space="preserve">SAP voor Business Analysts · Niveau 1 Fundamenten · Deel 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2026-08-16T20:12:36.005Z</dcterms:created>
  <dcterms:modified xsi:type="dcterms:W3CDTF">2026-08-16T20:12:36.005Z</dcterms:modified>
</cp:coreProperties>
</file>

<file path=docProps/custom.xml><?xml version="1.0" encoding="utf-8"?>
<Properties xmlns="http://schemas.openxmlformats.org/officeDocument/2006/custom-properties" xmlns:vt="http://schemas.openxmlformats.org/officeDocument/2006/docPropsVTypes"/>
</file>