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3 — Tabellen &amp; Data Dictionary</w:t>
      </w:r>
    </w:p>
    <w:p>
      <w:pPr>
        <w:spacing w:after="300"/>
      </w:pPr>
      <w:r>
        <w:rPr>
          <w:rFonts w:ascii="Calibri" w:cs="Calibri" w:eastAsia="Calibri" w:hAnsi="Calibri"/>
          <w:i/>
          <w:iCs/>
          <w:color w:val="2C5AA0"/>
          <w:sz w:val="22"/>
          <w:szCs w:val="22"/>
        </w:rPr>
        <w:t xml:space="preserve">Docentenhandleiding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Voor veel deelnemers is dit het eerste deel dat technisch aanvoelt, en dat is precies het risico: als het te technisch wordt gedoceerd, haken domeinmensen af; als het te vaag blijft, mist het deel zijn functie. Blijf strak bij de vorm (sleutel, domein, stam/beweging), niet bij SAP-specifieke tabelnamen of syntax.</w:t>
      </w:r>
    </w:p>
    <w:p>
      <w:pPr>
        <w:spacing w:after="140" w:line="300"/>
      </w:pPr>
      <w:r>
        <w:rPr>
          <w:rFonts w:ascii="Calibri" w:cs="Calibri" w:eastAsia="Calibri" w:hAnsi="Calibri"/>
          <w:sz w:val="22"/>
          <w:szCs w:val="22"/>
        </w:rPr>
        <w:t xml:space="preserve">Als deelnemers na dit dagdeel één zin onthouden, is het deze: een sleutel vertelt je wat het systeem als "hetzelfde ding" beschouwt, en die grens is waar functionele vragen zich afspelen.</w:t>
      </w:r>
    </w:p>
    <w:p>
      <w:pPr>
        <w:pStyle w:val="Heading2"/>
        <w:spacing w:after="120" w:before="200"/>
      </w:pPr>
      <w:r>
        <w:rPr>
          <w:rFonts w:ascii="Georgia" w:cs="Georgia" w:eastAsia="Georgia" w:hAnsi="Georgia"/>
          <w:b/>
          <w:bCs/>
          <w:color w:val="2C5AA0"/>
          <w:sz w:val="28"/>
          <w:szCs w:val="28"/>
        </w:rPr>
        <w:t xml:space="preserve">2. Programma dagdeel (3 uur, inclusief twee pauzes)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2, Sannes tabelfragment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verhalend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Tabel en sleutel (reader §3.1-3.2)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Domeinen (reader §3.3)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Stam- en bewegingsgegevens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datamodel-vraag stellen (reader §5) + opdracht 3.4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3.5, afsluiting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groepjes + plenair</w:t>
            </w:r>
          </w:p>
        </w:tc>
      </w:tr>
    </w:tbl>
    <w:p>
      <w:pPr>
        <w:spacing w:after="140" w:line="300"/>
      </w:pPr>
      <w:r>
        <w:rPr>
          <w:rFonts w:ascii="Calibri" w:cs="Calibri" w:eastAsia="Calibri" w:hAnsi="Calibri"/>
          <w:sz w:val="22"/>
          <w:szCs w:val="22"/>
        </w:rPr>
        <w:t xml:space="preserve">Opdracht 3.6 is huiswerk.</w:t>
      </w:r>
    </w:p>
    <w:p>
      <w:pPr>
        <w:pStyle w:val="Heading2"/>
        <w:spacing w:after="120" w:before="200"/>
      </w:pPr>
      <w:r>
        <w:rPr>
          <w:rFonts w:ascii="Georgia" w:cs="Georgia" w:eastAsia="Georgia" w:hAnsi="Georgia"/>
          <w:b/>
          <w:bCs/>
          <w:color w:val="2C5AA0"/>
          <w:sz w:val="28"/>
          <w:szCs w:val="28"/>
        </w:rPr>
        <w:t xml:space="preserve">3. Aandachtspunten per onderdeel</w:t>
      </w:r>
    </w:p>
    <w:p>
      <w:pPr>
        <w:pStyle w:val="Heading3"/>
        <w:spacing w:after="100" w:before="160"/>
      </w:pPr>
      <w:r>
        <w:rPr>
          <w:rFonts w:ascii="Georgia" w:cs="Georgia" w:eastAsia="Georgia" w:hAnsi="Georgia"/>
          <w:b/>
          <w:bCs/>
          <w:color w:val="1B2A4A"/>
          <w:sz w:val="24"/>
          <w:szCs w:val="24"/>
        </w:rPr>
        <w:t xml:space="preserve">Tabel en sleutel (0:15)</w:t>
      </w:r>
    </w:p>
    <w:p>
      <w:pPr>
        <w:spacing w:after="140" w:line="300"/>
      </w:pPr>
      <w:r>
        <w:rPr>
          <w:rFonts w:ascii="Calibri" w:cs="Calibri" w:eastAsia="Calibri" w:hAnsi="Calibri"/>
          <w:sz w:val="22"/>
          <w:szCs w:val="22"/>
        </w:rPr>
        <w:t xml:space="preserve">Gebruik een fysiek of getekend voorbeeld (een simpele spreadsheet met polisnummer, ingangsdatum, status) op het bord — abstracte uitleg over "sleutels" landt slecht zonder concreet voorbeeld erbij. Laat zien wat er misgaat als je de ingangsdatum weglaat uit de sleutel: twee versies van dezelfde polis worden dan onterecht als "dezelfde rij" behandeld.</w:t>
      </w:r>
    </w:p>
    <w:p>
      <w:pPr>
        <w:pStyle w:val="Heading3"/>
        <w:spacing w:after="100" w:before="160"/>
      </w:pPr>
      <w:r>
        <w:rPr>
          <w:rFonts w:ascii="Georgia" w:cs="Georgia" w:eastAsia="Georgia" w:hAnsi="Georgia"/>
          <w:b/>
          <w:bCs/>
          <w:color w:val="1B2A4A"/>
          <w:sz w:val="24"/>
          <w:szCs w:val="24"/>
        </w:rPr>
        <w:t xml:space="preserve">Opdracht 3.1 (0:40)</w:t>
      </w:r>
    </w:p>
    <w:p>
      <w:pPr>
        <w:spacing w:after="140" w:line="300"/>
      </w:pPr>
      <w:r>
        <w:rPr>
          <w:rFonts w:ascii="Calibri" w:cs="Calibri" w:eastAsia="Calibri" w:hAnsi="Calibri"/>
          <w:sz w:val="22"/>
          <w:szCs w:val="22"/>
        </w:rPr>
        <w:t xml:space="preserve">Verwacht discussie bij b (naam van de polishouder) — sommige deelnemers redeneren dat een naam toch ook "uniek" aanvoelt. Corrigeer met het onderscheid tussen *uniek in de praktijk* en *uniek gegarandeerd door het systeem* — twee polishouders kunnen toevallig dezelfde naam hebben, een sleutel mag daar niet op vertrouwen.</w:t>
      </w:r>
    </w:p>
    <w:p>
      <w:pPr>
        <w:pStyle w:val="Heading3"/>
        <w:spacing w:after="100" w:before="160"/>
      </w:pPr>
      <w:r>
        <w:rPr>
          <w:rFonts w:ascii="Georgia" w:cs="Georgia" w:eastAsia="Georgia" w:hAnsi="Georgia"/>
          <w:b/>
          <w:bCs/>
          <w:color w:val="1B2A4A"/>
          <w:sz w:val="24"/>
          <w:szCs w:val="24"/>
        </w:rPr>
        <w:t xml:space="preserve">Domeinen (1:10)</w:t>
      </w:r>
    </w:p>
    <w:p>
      <w:pPr>
        <w:spacing w:after="140" w:line="300"/>
      </w:pPr>
      <w:r>
        <w:rPr>
          <w:rFonts w:ascii="Calibri" w:cs="Calibri" w:eastAsia="Calibri" w:hAnsi="Calibri"/>
          <w:sz w:val="22"/>
          <w:szCs w:val="22"/>
        </w:rPr>
        <w:t xml:space="preserve">Dit onderdeel wordt vaak onderschat qua belang. Benadruk met het voorbeeld uit opdracht 3.2: "we voegen een statuswaarde toe" klinkt bestuurlijk simpel en is technisch een datamodel-wijziging. Dit voorkomt latere frustratie in niveau 2 wanneer eenvoudig ogende wensen ineens meer werk blijken te vergen dan verwacht.</w:t>
      </w:r>
    </w:p>
    <w:p>
      <w:pPr>
        <w:pStyle w:val="Heading3"/>
        <w:spacing w:after="100" w:before="160"/>
      </w:pPr>
      <w:r>
        <w:rPr>
          <w:rFonts w:ascii="Georgia" w:cs="Georgia" w:eastAsia="Georgia" w:hAnsi="Georgia"/>
          <w:b/>
          <w:bCs/>
          <w:color w:val="1B2A4A"/>
          <w:sz w:val="24"/>
          <w:szCs w:val="24"/>
        </w:rPr>
        <w:t xml:space="preserve">Stam- en bewegingsgegevens (1:40)</w:t>
      </w:r>
    </w:p>
    <w:p>
      <w:pPr>
        <w:spacing w:after="140" w:line="300"/>
      </w:pPr>
      <w:r>
        <w:rPr>
          <w:rFonts w:ascii="Calibri" w:cs="Calibri" w:eastAsia="Calibri" w:hAnsi="Calibri"/>
          <w:sz w:val="22"/>
          <w:szCs w:val="22"/>
        </w:rPr>
        <w:t xml:space="preserve">Besteed hier extra aandacht aan de subtiliteit van opdracht 3.3d (een adreswijziging is een bewegingsgegeven, het resultaat wordt onderdeel van het stamgegeven). Dit onderscheid keert letterlijk terug in deel 4, dus een stevige basis hier bespaart tijd daar.</w:t>
      </w:r>
    </w:p>
    <w:p>
      <w:pPr>
        <w:pStyle w:val="Heading3"/>
        <w:spacing w:after="100" w:before="160"/>
      </w:pPr>
      <w:r>
        <w:rPr>
          <w:rFonts w:ascii="Georgia" w:cs="Georgia" w:eastAsia="Georgia" w:hAnsi="Georgia"/>
          <w:b/>
          <w:bCs/>
          <w:color w:val="1B2A4A"/>
          <w:sz w:val="24"/>
          <w:szCs w:val="24"/>
        </w:rPr>
        <w:t xml:space="preserve">Een datamodel-vraag stellen (2:25)</w:t>
      </w:r>
    </w:p>
    <w:p>
      <w:pPr>
        <w:spacing w:after="140" w:line="300"/>
      </w:pPr>
      <w:r>
        <w:rPr>
          <w:rFonts w:ascii="Calibri" w:cs="Calibri" w:eastAsia="Calibri" w:hAnsi="Calibri"/>
          <w:sz w:val="22"/>
          <w:szCs w:val="22"/>
        </w:rPr>
        <w:t xml:space="preserve">Laat deelnemers bij opdracht 3.4 hardop hun eerste (vage) poging voorlezen vóór ze hem herschrijven — het contrast tussen de vage en de precieze versie is het leermoment, niet de precieze versie op zich.</w:t>
      </w:r>
    </w:p>
    <w:p>
      <w:pPr>
        <w:pStyle w:val="Heading3"/>
        <w:spacing w:after="100" w:before="160"/>
      </w:pPr>
      <w:r>
        <w:rPr>
          <w:rFonts w:ascii="Georgia" w:cs="Georgia" w:eastAsia="Georgia" w:hAnsi="Georgia"/>
          <w:b/>
          <w:bCs/>
          <w:color w:val="1B2A4A"/>
          <w:sz w:val="24"/>
          <w:szCs w:val="24"/>
        </w:rPr>
        <w:t xml:space="preserve">Opdracht 3.5 (2:45)</w:t>
      </w:r>
    </w:p>
    <w:p>
      <w:pPr>
        <w:spacing w:after="140" w:line="300"/>
      </w:pPr>
      <w:r>
        <w:rPr>
          <w:rFonts w:ascii="Calibri" w:cs="Calibri" w:eastAsia="Calibri" w:hAnsi="Calibri"/>
          <w:sz w:val="22"/>
          <w:szCs w:val="22"/>
        </w:rPr>
        <w:t xml:space="preserve">Sluit hier het deel af met de brug naar het WGP 2.0-dossier (↗, reader §6) als de groep die kent uit de zustercursus; zo niet, gebruik gewoon de kernzin zonder de verwijzing.</w:t>
      </w:r>
    </w:p>
    <w:p>
      <w:pPr>
        <w:pStyle w:val="Heading2"/>
        <w:spacing w:after="120" w:before="200"/>
      </w:pPr>
      <w:r>
        <w:rPr>
          <w:rFonts w:ascii="Georgia" w:cs="Georgia" w:eastAsia="Georgia" w:hAnsi="Georgia"/>
          <w:b/>
          <w:bCs/>
          <w:color w:val="2C5AA0"/>
          <w:sz w:val="28"/>
          <w:szCs w:val="28"/>
        </w:rPr>
        <w:t xml:space="preserve">4. Omgaan met verschillende deelnemersgroepen</w:t>
      </w:r>
    </w:p>
    <w:p>
      <w:pPr>
        <w:spacing w:after="140" w:line="300"/>
      </w:pPr>
      <w:r>
        <w:rPr>
          <w:rFonts w:ascii="Calibri" w:cs="Calibri" w:eastAsia="Calibri" w:hAnsi="Calibri"/>
          <w:sz w:val="22"/>
          <w:szCs w:val="22"/>
        </w:rPr>
        <w:t xml:space="preserve">Deelnemers met een IT- of data-achtergrond. Voor hen is dit deel eenvoudig; laat hen bij opdracht 3.4 en 3.5 als eerste hardop hun herschrijving delen om de rest op gang te helpen. Waarschuw hen wel dat SAP-specifieke conventies (bijvoorbeeld hoe domeinen en tabellen technisch worden vastgelegd) net anders kunnen zijn dan wat zij van een ander platform gewend zijn — nuance, geen correctie op hun kennis.</w:t>
      </w:r>
    </w:p>
    <w:p>
      <w:pPr>
        <w:spacing w:after="140" w:line="300"/>
      </w:pPr>
      <w:r>
        <w:rPr>
          <w:rFonts w:ascii="Calibri" w:cs="Calibri" w:eastAsia="Calibri" w:hAnsi="Calibri"/>
          <w:sz w:val="22"/>
          <w:szCs w:val="22"/>
        </w:rPr>
        <w:t xml:space="preserve">Domeinmensen zonder technische achtergrond (zoals Sanne). Grootste risico in dit deel. Herhaal vaker dan bij andere delen dat dit géén technisch vak wordt — het gaat om een leesvaardigheid, geen bouwvaardigheid. Gebruik zoveel mogelijk hun eigen domeinvoorbeelden (polisnummer, ingangsdatum) in plaats van abstracte voorbeelden.</w:t>
      </w:r>
    </w:p>
    <w:p>
      <w:pPr>
        <w:pStyle w:val="Heading2"/>
        <w:spacing w:after="120" w:before="200"/>
      </w:pPr>
      <w:r>
        <w:rPr>
          <w:rFonts w:ascii="Georgia" w:cs="Georgia" w:eastAsia="Georgia" w:hAnsi="Georgia"/>
          <w:b/>
          <w:bCs/>
          <w:color w:val="2C5AA0"/>
          <w:sz w:val="28"/>
          <w:szCs w:val="28"/>
        </w:rPr>
        <w:t xml:space="preserve">5. Veelgestelde vragen</w:t>
      </w:r>
    </w:p>
    <w:p>
      <w:pPr>
        <w:spacing w:after="140" w:line="300"/>
      </w:pPr>
      <w:r>
        <w:rPr>
          <w:rFonts w:ascii="Calibri" w:cs="Calibri" w:eastAsia="Calibri" w:hAnsi="Calibri"/>
          <w:sz w:val="22"/>
          <w:szCs w:val="22"/>
        </w:rPr>
        <w:t xml:space="preserve">"Moet ik nu ERD's (entity-relationship-diagrammen) kunnen lezen?" Niet in deze cursus verplicht, maar het is een nuttige aanvullende vaardigheid als je die al hebt. Deze cursus beperkt zich tot het niveau van losse tabellen, sleutels en domeinen — genoeg om een gerichte vraag te stellen.</w:t>
      </w:r>
    </w:p>
    <w:p>
      <w:pPr>
        <w:spacing w:after="140" w:line="300"/>
      </w:pPr>
      <w:r>
        <w:rPr>
          <w:rFonts w:ascii="Calibri" w:cs="Calibri" w:eastAsia="Calibri" w:hAnsi="Calibri"/>
          <w:sz w:val="22"/>
          <w:szCs w:val="22"/>
        </w:rPr>
        <w:t xml:space="preserve">"Waarom leren we dit niet gewoon aan de hand van de echte Meridiaan-tabellen?" Omdat die pas in niveau 2 (FS-PM-configuratie) concreet worden. Dit deel oefent de vaardigheid op een generiek niveau zodat je haar overal kunt toepassen, niet alleen op Meridiaans eigen inrichting.</w:t>
      </w:r>
    </w:p>
    <w:p>
      <w:pPr>
        <w:pStyle w:val="Heading2"/>
        <w:spacing w:after="120" w:before="200"/>
      </w:pPr>
      <w:r>
        <w:rPr>
          <w:rFonts w:ascii="Georgia" w:cs="Georgia" w:eastAsia="Georgia" w:hAnsi="Georgia"/>
          <w:b/>
          <w:bCs/>
          <w:color w:val="2C5AA0"/>
          <w:sz w:val="28"/>
          <w:szCs w:val="28"/>
        </w:rPr>
        <w:t xml:space="preserve">6. Benodigdheden</w:t>
      </w:r>
    </w:p>
    <w:p>
      <w:pPr>
        <w:pStyle w:val="ListParagraph"/>
        <w:numPr>
          <w:ilvl w:val="0"/>
          <w:numId w:val="1"/>
        </w:numPr>
        <w:spacing w:after="80"/>
      </w:pPr>
      <w:r>
        <w:rPr>
          <w:rFonts w:ascii="Calibri" w:cs="Calibri" w:eastAsia="Calibri" w:hAnsi="Calibri"/>
          <w:sz w:val="22"/>
          <w:szCs w:val="22"/>
        </w:rPr>
        <w:t xml:space="preserve">Casusdossier-aanvulling SAP.</w:t>
      </w:r>
    </w:p>
    <w:p>
      <w:pPr>
        <w:pStyle w:val="ListParagraph"/>
        <w:numPr>
          <w:ilvl w:val="0"/>
          <w:numId w:val="1"/>
        </w:numPr>
        <w:spacing w:after="80"/>
      </w:pPr>
      <w:r>
        <w:rPr>
          <w:rFonts w:ascii="Calibri" w:cs="Calibri" w:eastAsia="Calibri" w:hAnsi="Calibri"/>
          <w:sz w:val="22"/>
          <w:szCs w:val="22"/>
        </w:rPr>
        <w:t xml:space="preserve">Whiteboard voor het live sleuteldiagram.</w:t>
      </w:r>
    </w:p>
    <w:p>
      <w:pPr>
        <w:pStyle w:val="ListParagraph"/>
        <w:numPr>
          <w:ilvl w:val="0"/>
          <w:numId w:val="1"/>
        </w:numPr>
        <w:spacing w:after="80"/>
      </w:pPr>
      <w:r>
        <w:rPr>
          <w:rFonts w:ascii="Calibri" w:cs="Calibri" w:eastAsia="Calibri" w:hAnsi="Calibri"/>
          <w:sz w:val="22"/>
          <w:szCs w:val="22"/>
        </w:rPr>
        <w:t xml:space="preserve">Slidedeck deel 3.</w:t>
      </w:r>
    </w:p>
    <w:p>
      <w:pPr>
        <w:pStyle w:val="Heading2"/>
        <w:spacing w:after="120" w:before="200"/>
      </w:pPr>
      <w:r>
        <w:rPr>
          <w:rFonts w:ascii="Georgia" w:cs="Georgia" w:eastAsia="Georgia" w:hAnsi="Georgia"/>
          <w:b/>
          <w:bCs/>
          <w:color w:val="2C5AA0"/>
          <w:sz w:val="28"/>
          <w:szCs w:val="28"/>
        </w:rPr>
        <w:t xml:space="preserve">7. Beoordeling en doorstroom</w:t>
      </w:r>
    </w:p>
    <w:p>
      <w:pPr>
        <w:spacing w:after="140" w:line="300"/>
      </w:pPr>
      <w:r>
        <w:rPr>
          <w:rFonts w:ascii="Calibri" w:cs="Calibri" w:eastAsia="Calibri" w:hAnsi="Calibri"/>
          <w:sz w:val="22"/>
          <w:szCs w:val="22"/>
        </w:rPr>
        <w:t xml:space="preserve">Geen formele toetsing. Let op deelnemers die bij opdracht 3.4 een oordeel blijven formuleren in plaats van verwacht-versus-waargenomen ("dit klopt niet" in plaats van "ik verwachtte X en zie Y") — dat patroon is een voorspeller voor moeite met requirements schrijven in deel 9.</w:t>
      </w:r>
    </w:p>
    <w:p>
      <w:pPr>
        <w:pStyle w:val="Heading2"/>
        <w:spacing w:after="120" w:before="200"/>
      </w:pPr>
      <w:r>
        <w:rPr>
          <w:rFonts w:ascii="Georgia" w:cs="Georgia" w:eastAsia="Georgia" w:hAnsi="Georgia"/>
          <w:b/>
          <w:bCs/>
          <w:color w:val="2C5AA0"/>
          <w:sz w:val="28"/>
          <w:szCs w:val="28"/>
        </w:rPr>
        <w:t xml:space="preserve">8. Voorbereiding op deel 4</w:t>
      </w:r>
    </w:p>
    <w:p>
      <w:pPr>
        <w:spacing w:after="140" w:line="300"/>
      </w:pPr>
      <w:r>
        <w:rPr>
          <w:rFonts w:ascii="Calibri" w:cs="Calibri" w:eastAsia="Calibri" w:hAnsi="Calibri"/>
          <w:sz w:val="22"/>
          <w:szCs w:val="22"/>
        </w:rPr>
        <w:t xml:space="preserve">Deel 4 bouwt rechtstreeks voort op het stam/bewegingsonderscheid uit dit deel (reader §4). Geen aanvullende voorbereiding nodig, maar herhaal desgewenst kort dat onderscheid bij aanvang van deel 4 als de tijd tussen beide sessies langer dan een week 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2026-08-16T20:12:36.856Z</dcterms:created>
  <dcterms:modified xsi:type="dcterms:W3CDTF">2026-08-16T20:12:36.856Z</dcterms:modified>
</cp:coreProperties>
</file>

<file path=docProps/custom.xml><?xml version="1.0" encoding="utf-8"?>
<Properties xmlns="http://schemas.openxmlformats.org/officeDocument/2006/custom-properties" xmlns:vt="http://schemas.openxmlformats.org/officeDocument/2006/docPropsVTypes"/>
</file>