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4 — Stamgegevens &amp; datakwaliteit</w:t>
      </w:r>
    </w:p>
    <w:p>
      <w:pPr>
        <w:spacing w:after="300"/>
      </w:pPr>
      <w:r>
        <w:rPr>
          <w:rFonts w:ascii="Calibri" w:cs="Calibri" w:eastAsia="Calibri" w:hAnsi="Calibri"/>
          <w:i/>
          <w:iCs/>
          <w:color w:val="2C5AA0"/>
          <w:sz w:val="22"/>
          <w:szCs w:val="22"/>
        </w:rPr>
        <w:t xml:space="preserve">Docentenhandleiding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1. Bedoeling van dit deel</w:t>
      </w:r>
    </w:p>
    <w:p>
      <w:pPr>
        <w:spacing w:after="140" w:line="300"/>
      </w:pPr>
      <w:r>
        <w:rPr>
          <w:rFonts w:ascii="Calibri" w:cs="Calibri" w:eastAsia="Calibri" w:hAnsi="Calibri"/>
          <w:sz w:val="22"/>
          <w:szCs w:val="22"/>
        </w:rPr>
        <w:t xml:space="preserve">Dit deel is een van de twee toevoegingen in niveau 1 die niet uit de Eductus-brontstof (v2.0) komen — het vult een hiaat dat bij de evaluatie van die reeks werd geconstateerd. Neem het daarom niet lichter dan de andere delen: het is inhoudelijk nieuw terrein voor deelnemers die alleen procesmatig over SAP hebben nagedacht.</w:t>
      </w:r>
    </w:p>
    <w:p>
      <w:pPr>
        <w:spacing w:after="140" w:line="300"/>
      </w:pPr>
      <w:r>
        <w:rPr>
          <w:rFonts w:ascii="Calibri" w:cs="Calibri" w:eastAsia="Calibri" w:hAnsi="Calibri"/>
          <w:sz w:val="22"/>
          <w:szCs w:val="22"/>
        </w:rPr>
        <w:t xml:space="preserve">De kern is een omkering: waar deelnemers geneigd zijn procesfouten te zoeken bij het proces zelf, leert dit deel hen eerst te checken of het probleem al bij het startpunt (het stamgegeven) zat.</w:t>
      </w:r>
    </w:p>
    <w:p>
      <w:pPr>
        <w:spacing w:after="140" w:line="300"/>
      </w:pPr>
      <w:r>
        <w:rPr>
          <w:rFonts w:ascii="Calibri" w:cs="Calibri" w:eastAsia="Calibri" w:hAnsi="Calibri"/>
          <w:sz w:val="22"/>
          <w:szCs w:val="22"/>
        </w:rPr>
        <w:t xml:space="preserve">Als deelnemers na dit dagdeel één zin onthouden, is het deze: een proces kan foutloos werken en toch een fout resultaat geven, als het startpunt — het stamgegeven — niet klopte.</w:t>
      </w:r>
    </w:p>
    <w:p>
      <w:pPr>
        <w:pStyle w:val="Heading2"/>
        <w:spacing w:after="120" w:before="200"/>
      </w:pPr>
      <w:r>
        <w:rPr>
          <w:rFonts w:ascii="Georgia" w:cs="Georgia" w:eastAsia="Georgia" w:hAnsi="Georgia"/>
          <w:b/>
          <w:bCs/>
          <w:color w:val="2C5AA0"/>
          <w:sz w:val="28"/>
          <w:szCs w:val="28"/>
        </w:rPr>
        <w:t xml:space="preserve">2. Programma dagdeel (3 uur, inclusief twee pauzes)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werkgever die twee keer bestaat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verhalend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stamgegevens zijn, relatiedata als scherpste voorbeeld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 vormen van problemen (reader §4) + opdracht 4.1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1:25–1:50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Waarom dit de stilste bron van BTX-fouten is (reader §5) + opdracht 4.3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groepjes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Stamgegevensbeheer op BA-niveau (reader §6) + opdracht 4.4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4.5, terugkoppeling naar de casus, afsluiting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groepjes + plenair</w:t>
            </w:r>
          </w:p>
        </w:tc>
      </w:tr>
    </w:tbl>
    <w:p>
      <w:pPr>
        <w:spacing w:after="140" w:line="300"/>
      </w:pPr>
      <w:r>
        <w:rPr>
          <w:rFonts w:ascii="Calibri" w:cs="Calibri" w:eastAsia="Calibri" w:hAnsi="Calibri"/>
          <w:sz w:val="22"/>
          <w:szCs w:val="22"/>
        </w:rPr>
        <w:t xml:space="preserve">Opdracht 4.6 is huiswerk.</w:t>
      </w:r>
    </w:p>
    <w:p>
      <w:pPr>
        <w:pStyle w:val="Heading2"/>
        <w:spacing w:after="120" w:before="200"/>
      </w:pPr>
      <w:r>
        <w:rPr>
          <w:rFonts w:ascii="Georgia" w:cs="Georgia" w:eastAsia="Georgia" w:hAnsi="Georgia"/>
          <w:b/>
          <w:bCs/>
          <w:color w:val="2C5AA0"/>
          <w:sz w:val="28"/>
          <w:szCs w:val="28"/>
        </w:rPr>
        <w:t xml:space="preserve">3. Aandachtspunten per onderdeel</w:t>
      </w:r>
    </w:p>
    <w:p>
      <w:pPr>
        <w:pStyle w:val="Heading3"/>
        <w:spacing w:after="100" w:before="160"/>
      </w:pPr>
      <w:r>
        <w:rPr>
          <w:rFonts w:ascii="Georgia" w:cs="Georgia" w:eastAsia="Georgia" w:hAnsi="Georgia"/>
          <w:b/>
          <w:bCs/>
          <w:color w:val="1B2A4A"/>
          <w:sz w:val="24"/>
          <w:szCs w:val="24"/>
        </w:rPr>
        <w:t xml:space="preserve">De werkgever die twee keer bestaat (0:00)</w:t>
      </w:r>
    </w:p>
    <w:p>
      <w:pPr>
        <w:spacing w:after="140" w:line="300"/>
      </w:pPr>
      <w:r>
        <w:rPr>
          <w:rFonts w:ascii="Calibri" w:cs="Calibri" w:eastAsia="Calibri" w:hAnsi="Calibri"/>
          <w:sz w:val="22"/>
          <w:szCs w:val="22"/>
        </w:rPr>
        <w:t xml:space="preserve">Laat deelnemers eerst zelf gissen waar het probleem vandaan komt, vóór je Priya's reactie ("dit was al een Panorama-probleem") onthult. De meest voorkomende foute aanname: dat dit een SAP-implementatiefout is. Corrigeer expliciet — dit is precies de omkering die dit deel wil aanleren.</w:t>
      </w:r>
    </w:p>
    <w:p>
      <w:pPr>
        <w:pStyle w:val="Heading3"/>
        <w:spacing w:after="100" w:before="160"/>
      </w:pPr>
      <w:r>
        <w:rPr>
          <w:rFonts w:ascii="Georgia" w:cs="Georgia" w:eastAsia="Georgia" w:hAnsi="Georgia"/>
          <w:b/>
          <w:bCs/>
          <w:color w:val="1B2A4A"/>
          <w:sz w:val="24"/>
          <w:szCs w:val="24"/>
        </w:rPr>
        <w:t xml:space="preserve">Drie vormen van problemen (0:35)</w:t>
      </w:r>
    </w:p>
    <w:p>
      <w:pPr>
        <w:spacing w:after="140" w:line="300"/>
      </w:pPr>
      <w:r>
        <w:rPr>
          <w:rFonts w:ascii="Calibri" w:cs="Calibri" w:eastAsia="Calibri" w:hAnsi="Calibri"/>
          <w:sz w:val="22"/>
          <w:szCs w:val="22"/>
        </w:rPr>
        <w:t xml:space="preserve">Deelnemers hebben doorgaans weinig moeite met duplicaat en verouderd gegeven, maar missen structureel inconsistente vastlegging als categorie totdat je opdracht 4.1c hardop bespreekt. Besteed hier bewust meer tijd dan het programma suggereert als de groep dit onderdeel snel afraffelt — het is de moeilijkste en meest onderschatte van de drie.</w:t>
      </w:r>
    </w:p>
    <w:p>
      <w:pPr>
        <w:pStyle w:val="Heading3"/>
        <w:spacing w:after="100" w:before="160"/>
      </w:pPr>
      <w:r>
        <w:rPr>
          <w:rFonts w:ascii="Georgia" w:cs="Georgia" w:eastAsia="Georgia" w:hAnsi="Georgia"/>
          <w:b/>
          <w:bCs/>
          <w:color w:val="1B2A4A"/>
          <w:sz w:val="24"/>
          <w:szCs w:val="24"/>
        </w:rPr>
        <w:t xml:space="preserve">Opdracht 4.3 (1:25)</w:t>
      </w:r>
    </w:p>
    <w:p>
      <w:pPr>
        <w:spacing w:after="140" w:line="300"/>
      </w:pPr>
      <w:r>
        <w:rPr>
          <w:rFonts w:ascii="Calibri" w:cs="Calibri" w:eastAsia="Calibri" w:hAnsi="Calibri"/>
          <w:sz w:val="22"/>
          <w:szCs w:val="22"/>
        </w:rPr>
        <w:t xml:space="preserve">Dit is de kernoefening van het deel. Als groepen moeite hebben om van een procesklacht naar een stamgegevens-hypothese te springen, geef als hint: "stel dat het proces zelf helemaal goed werkt — wat zou er dan nog steeds mis kunnen zijn vóórdat het proces begint?"</w:t>
      </w:r>
    </w:p>
    <w:p>
      <w:pPr>
        <w:pStyle w:val="Heading3"/>
        <w:spacing w:after="100" w:before="160"/>
      </w:pPr>
      <w:r>
        <w:rPr>
          <w:rFonts w:ascii="Georgia" w:cs="Georgia" w:eastAsia="Georgia" w:hAnsi="Georgia"/>
          <w:b/>
          <w:bCs/>
          <w:color w:val="1B2A4A"/>
          <w:sz w:val="24"/>
          <w:szCs w:val="24"/>
        </w:rPr>
        <w:t xml:space="preserve">Stamgegevensbeheer (2:00)</w:t>
      </w:r>
    </w:p>
    <w:p>
      <w:pPr>
        <w:spacing w:after="140" w:line="300"/>
      </w:pPr>
      <w:r>
        <w:rPr>
          <w:rFonts w:ascii="Calibri" w:cs="Calibri" w:eastAsia="Calibri" w:hAnsi="Calibri"/>
          <w:sz w:val="22"/>
          <w:szCs w:val="22"/>
        </w:rPr>
        <w:t xml:space="preserve">Vermijd de verleiding hier een volledig governance-raamwerk te doceren (dat hoort niet bij het niveau van deze cursus). Houd het bij de drie begrippen (eigenaarschap, opschoning, detectie) en hun directe toepassing op de casus.</w:t>
      </w:r>
    </w:p>
    <w:p>
      <w:pPr>
        <w:pStyle w:val="Heading3"/>
        <w:spacing w:after="100" w:before="160"/>
      </w:pPr>
      <w:r>
        <w:rPr>
          <w:rFonts w:ascii="Georgia" w:cs="Georgia" w:eastAsia="Georgia" w:hAnsi="Georgia"/>
          <w:b/>
          <w:bCs/>
          <w:color w:val="1B2A4A"/>
          <w:sz w:val="24"/>
          <w:szCs w:val="24"/>
        </w:rPr>
        <w:t xml:space="preserve">Opdracht 4.5 (2:20)</w:t>
      </w:r>
    </w:p>
    <w:p>
      <w:pPr>
        <w:spacing w:after="140" w:line="300"/>
      </w:pPr>
      <w:r>
        <w:rPr>
          <w:rFonts w:ascii="Calibri" w:cs="Calibri" w:eastAsia="Calibri" w:hAnsi="Calibri"/>
          <w:sz w:val="22"/>
          <w:szCs w:val="22"/>
        </w:rPr>
        <w:t xml:space="preserve">Laat deze opdracht uitlopen als het programma dat toestaat — het is het sterkste voorbeeld in dit deel van hoe een schijnbaar technische actie (twee records samenvoegen) in werkelijkheid een organisatiebesluit is. Dit anker keert in niveau 2 en 3 terug bij elke migratie- en governance-vraag.</w:t>
      </w:r>
    </w:p>
    <w:p>
      <w:pPr>
        <w:pStyle w:val="Heading2"/>
        <w:spacing w:after="120" w:before="200"/>
      </w:pPr>
      <w:r>
        <w:rPr>
          <w:rFonts w:ascii="Georgia" w:cs="Georgia" w:eastAsia="Georgia" w:hAnsi="Georgia"/>
          <w:b/>
          <w:bCs/>
          <w:color w:val="2C5AA0"/>
          <w:sz w:val="28"/>
          <w:szCs w:val="28"/>
        </w:rPr>
        <w:t xml:space="preserve">4. Omgaan met verschillende deelnemersgroepen</w:t>
      </w:r>
    </w:p>
    <w:p>
      <w:pPr>
        <w:spacing w:after="140" w:line="300"/>
      </w:pPr>
      <w:r>
        <w:rPr>
          <w:rFonts w:ascii="Calibri" w:cs="Calibri" w:eastAsia="Calibri" w:hAnsi="Calibri"/>
          <w:sz w:val="22"/>
          <w:szCs w:val="22"/>
        </w:rPr>
        <w:t xml:space="preserve">Deelnemers met een data- of BI-achtergrond. Voor hen is dit deel herkenbaar terrein; laat hen hun eigen ervaringen met datakwaliteitsprojecten inbrengen, maar houd de discussie gericht op het SAP/BTX-verband uit reader §5 — dat is het specifieke leerdoel, niet datakwaliteit in het algemeen.</w:t>
      </w:r>
    </w:p>
    <w:p>
      <w:pPr>
        <w:spacing w:after="140" w:line="300"/>
      </w:pPr>
      <w:r>
        <w:rPr>
          <w:rFonts w:ascii="Calibri" w:cs="Calibri" w:eastAsia="Calibri" w:hAnsi="Calibri"/>
          <w:sz w:val="22"/>
          <w:szCs w:val="22"/>
        </w:rPr>
        <w:t xml:space="preserve">Deelnemers zonder ervaring met datakwaliteitsvraagstukken. Voor hen kan het onderwerp abstract aanvoelen tot opdracht 4.3. Gebruik zoveel mogelijk het concrete werkgeversvoorbeeld uit reader §1 als vast ankerpunt door het hele deel heen.</w:t>
      </w:r>
    </w:p>
    <w:p>
      <w:pPr>
        <w:pStyle w:val="Heading2"/>
        <w:spacing w:after="120" w:before="200"/>
      </w:pPr>
      <w:r>
        <w:rPr>
          <w:rFonts w:ascii="Georgia" w:cs="Georgia" w:eastAsia="Georgia" w:hAnsi="Georgia"/>
          <w:b/>
          <w:bCs/>
          <w:color w:val="2C5AA0"/>
          <w:sz w:val="28"/>
          <w:szCs w:val="28"/>
        </w:rPr>
        <w:t xml:space="preserve">5. Veelgestelde vragen</w:t>
      </w:r>
    </w:p>
    <w:p>
      <w:pPr>
        <w:spacing w:after="140" w:line="300"/>
      </w:pPr>
      <w:r>
        <w:rPr>
          <w:rFonts w:ascii="Calibri" w:cs="Calibri" w:eastAsia="Calibri" w:hAnsi="Calibri"/>
          <w:sz w:val="22"/>
          <w:szCs w:val="22"/>
        </w:rPr>
        <w:t xml:space="preserve">"Is dit niet gewoon een taak voor IT, en niet voor een BA?" De technische detectie en samenvoeging is een IT-taak; het besluit wélk record leidend wordt en waarom, is een organisatiebesluit (reader §6). Vermijd het misverstand dat de BA dit hele onderwerp aan IT kan overdragen.</w:t>
      </w:r>
    </w:p>
    <w:p>
      <w:pPr>
        <w:spacing w:after="140" w:line="300"/>
      </w:pPr>
      <w:r>
        <w:rPr>
          <w:rFonts w:ascii="Calibri" w:cs="Calibri" w:eastAsia="Calibri" w:hAnsi="Calibri"/>
          <w:sz w:val="22"/>
          <w:szCs w:val="22"/>
        </w:rPr>
        <w:t xml:space="preserve">"Hoeveel tijd kost een stamgegevensopschoning in de praktijk?" Sterk afhankelijk van omvang en historie — geen algemeen antwoord te geven binnen deze cursus. Relevant voor de BA is niet de schatting, maar het besef dat dit een apart, vaak onderschat traject is dat vroeg in een implementatie moet worden gepland, niet als bijzaak achteraf.</w:t>
      </w:r>
    </w:p>
    <w:p>
      <w:pPr>
        <w:pStyle w:val="Heading2"/>
        <w:spacing w:after="120" w:before="200"/>
      </w:pPr>
      <w:r>
        <w:rPr>
          <w:rFonts w:ascii="Georgia" w:cs="Georgia" w:eastAsia="Georgia" w:hAnsi="Georgia"/>
          <w:b/>
          <w:bCs/>
          <w:color w:val="2C5AA0"/>
          <w:sz w:val="28"/>
          <w:szCs w:val="28"/>
        </w:rPr>
        <w:t xml:space="preserve">6. Benodigdheden</w:t>
      </w:r>
    </w:p>
    <w:p>
      <w:pPr>
        <w:pStyle w:val="ListParagraph"/>
        <w:numPr>
          <w:ilvl w:val="0"/>
          <w:numId w:val="1"/>
        </w:numPr>
        <w:spacing w:after="80"/>
      </w:pPr>
      <w:r>
        <w:rPr>
          <w:rFonts w:ascii="Calibri" w:cs="Calibri" w:eastAsia="Calibri" w:hAnsi="Calibri"/>
          <w:sz w:val="22"/>
          <w:szCs w:val="22"/>
        </w:rPr>
        <w:t xml:space="preserve">Casusdossier-aanvulling SAP.</w:t>
      </w:r>
    </w:p>
    <w:p>
      <w:pPr>
        <w:pStyle w:val="ListParagraph"/>
        <w:numPr>
          <w:ilvl w:val="0"/>
          <w:numId w:val="1"/>
        </w:numPr>
        <w:spacing w:after="80"/>
      </w:pPr>
      <w:r>
        <w:rPr>
          <w:rFonts w:ascii="Calibri" w:cs="Calibri" w:eastAsia="Calibri" w:hAnsi="Calibri"/>
          <w:sz w:val="22"/>
          <w:szCs w:val="22"/>
        </w:rPr>
        <w:t xml:space="preserve">Slidedeck deel 4.</w:t>
      </w:r>
    </w:p>
    <w:p>
      <w:pPr>
        <w:pStyle w:val="Heading2"/>
        <w:spacing w:after="120" w:before="200"/>
      </w:pPr>
      <w:r>
        <w:rPr>
          <w:rFonts w:ascii="Georgia" w:cs="Georgia" w:eastAsia="Georgia" w:hAnsi="Georgia"/>
          <w:b/>
          <w:bCs/>
          <w:color w:val="2C5AA0"/>
          <w:sz w:val="28"/>
          <w:szCs w:val="28"/>
        </w:rPr>
        <w:t xml:space="preserve">7. Beoordeling en doorstroom</w:t>
      </w:r>
    </w:p>
    <w:p>
      <w:pPr>
        <w:spacing w:after="140" w:line="300"/>
      </w:pPr>
      <w:r>
        <w:rPr>
          <w:rFonts w:ascii="Calibri" w:cs="Calibri" w:eastAsia="Calibri" w:hAnsi="Calibri"/>
          <w:sz w:val="22"/>
          <w:szCs w:val="22"/>
        </w:rPr>
        <w:t xml:space="preserve">Geen formele toetsing. Let op deelnemers die bij opdracht 4.3 direct naar een procesoplossing springen ("het proces moet beter valideren") zonder eerst de stamgegevens-hypothese te onderzoeken — dat wijst op onvoldoende beklijving van de kern van dit deel.</w:t>
      </w:r>
    </w:p>
    <w:p>
      <w:pPr>
        <w:pStyle w:val="Heading2"/>
        <w:spacing w:after="120" w:before="200"/>
      </w:pPr>
      <w:r>
        <w:rPr>
          <w:rFonts w:ascii="Georgia" w:cs="Georgia" w:eastAsia="Georgia" w:hAnsi="Georgia"/>
          <w:b/>
          <w:bCs/>
          <w:color w:val="2C5AA0"/>
          <w:sz w:val="28"/>
          <w:szCs w:val="28"/>
        </w:rPr>
        <w:t xml:space="preserve">8. Voorbereiding op deel 5</w:t>
      </w:r>
    </w:p>
    <w:p>
      <w:pPr>
        <w:spacing w:after="140" w:line="300"/>
      </w:pPr>
      <w:r>
        <w:rPr>
          <w:rFonts w:ascii="Calibri" w:cs="Calibri" w:eastAsia="Calibri" w:hAnsi="Calibri"/>
          <w:sz w:val="22"/>
          <w:szCs w:val="22"/>
        </w:rPr>
        <w:t xml:space="preserve">Deel 5 (ABAP lezen voor BA's) bouwt niet rechtstreeks voort op dit deel, maar de casus vervolgt: Sanne en Priya's stamgegevens-actiepunt (reader §7) is een lopende zaak die in latere delen (met name niveau 2) terugkeert. Geen specifieke voorbereiding nodig.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2026-08-16T20:12:37.752Z</dcterms:created>
  <dcterms:modified xsi:type="dcterms:W3CDTF">2026-08-16T20:12:37.752Z</dcterms:modified>
</cp:coreProperties>
</file>

<file path=docProps/custom.xml><?xml version="1.0" encoding="utf-8"?>
<Properties xmlns="http://schemas.openxmlformats.org/officeDocument/2006/custom-properties" xmlns:vt="http://schemas.openxmlformats.org/officeDocument/2006/docPropsVTypes"/>
</file>