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5 — ABAP lezen voor BA's</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is voor veel deelnemers het meest intimiderend ogende deel van niveau 1 — "code" roept bij domeinmensen vaak een drempel op die groter is dan de werkelijke moeilijkheidsgraad rechtvaardigt. De belangrijkste docenttaak hier is die drempel wegnemen door vanaf de eerste minuut expliciet te maken dat dit geen programmeercursus is.</w:t>
      </w:r>
    </w:p>
    <w:p>
      <w:pPr>
        <w:spacing w:after="140" w:line="300"/>
      </w:pPr>
      <w:r>
        <w:rPr>
          <w:rFonts w:ascii="Calibri" w:cs="Calibri" w:eastAsia="Calibri" w:hAnsi="Calibri"/>
          <w:sz w:val="22"/>
          <w:szCs w:val="22"/>
        </w:rPr>
        <w:t xml:space="preserve">Als deelnemers na dit dagdeel één zin onthouden, is het deze: je hoeft niet te weten wat elke regel doet, je moet weten welk type regel je voor je hebt.</w:t>
      </w:r>
    </w:p>
    <w:p>
      <w:pPr>
        <w:pStyle w:val="Heading2"/>
        <w:spacing w:after="120" w:before="200"/>
      </w:pPr>
      <w:r>
        <w:rPr>
          <w:rFonts w:ascii="Georgia" w:cs="Georgia" w:eastAsia="Georgia" w:hAnsi="Georgia"/>
          <w:b/>
          <w:bCs/>
          <w:color w:val="2C5AA0"/>
          <w:sz w:val="28"/>
          <w:szCs w:val="28"/>
        </w:rPr>
        <w:t xml:space="preserve">2. Programma dagdeel (3 uur, inclusief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Jelle's scherm, Sannes eerste reactie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Expliciet: dit is geen programmeercursus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Vier bouwstenen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5.1 en 5.2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Configuratie versus custom code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Lezen versus beoordelen (reader §5) + opdracht 5.4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"Ik snap dit niet" (reader §6) + opdracht 5.5, afsluiting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groepjes</w:t>
            </w:r>
          </w:p>
        </w:tc>
      </w:tr>
    </w:tbl>
    <w:p>
      <w:pPr>
        <w:spacing w:after="140" w:line="300"/>
      </w:pPr>
      <w:r>
        <w:rPr>
          <w:rFonts w:ascii="Calibri" w:cs="Calibri" w:eastAsia="Calibri" w:hAnsi="Calibri"/>
          <w:sz w:val="22"/>
          <w:szCs w:val="22"/>
        </w:rPr>
        <w:t xml:space="preserve">Opdracht 5.6 is huiswerk.</w:t>
      </w:r>
    </w:p>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Expliciet maken (0:15)</w:t>
      </w:r>
    </w:p>
    <w:p>
      <w:pPr>
        <w:spacing w:after="140" w:line="300"/>
      </w:pPr>
      <w:r>
        <w:rPr>
          <w:rFonts w:ascii="Calibri" w:cs="Calibri" w:eastAsia="Calibri" w:hAnsi="Calibri"/>
          <w:sz w:val="22"/>
          <w:szCs w:val="22"/>
        </w:rPr>
        <w:t xml:space="preserve">Zeg dit letterlijk en herhaal het later in het dagdeel als de spanning terugkeert: *"Aan het eind van vandaag kun jij geen ABAP schrijven, en dat is precies de bedoeling."* Deelnemers die dit vroeg horen, ontspannen zichtbaar en participeren actiever bij de oefeningen.</w:t>
      </w:r>
    </w:p>
    <w:p>
      <w:pPr>
        <w:pStyle w:val="Heading3"/>
        <w:spacing w:after="100" w:before="160"/>
      </w:pPr>
      <w:r>
        <w:rPr>
          <w:rFonts w:ascii="Georgia" w:cs="Georgia" w:eastAsia="Georgia" w:hAnsi="Georgia"/>
          <w:b/>
          <w:bCs/>
          <w:color w:val="1B2A4A"/>
          <w:sz w:val="24"/>
          <w:szCs w:val="24"/>
        </w:rPr>
        <w:t xml:space="preserve">Vier bouwstenen (0:20)</w:t>
      </w:r>
    </w:p>
    <w:p>
      <w:pPr>
        <w:spacing w:after="140" w:line="300"/>
      </w:pPr>
      <w:r>
        <w:rPr>
          <w:rFonts w:ascii="Calibri" w:cs="Calibri" w:eastAsia="Calibri" w:hAnsi="Calibri"/>
          <w:sz w:val="22"/>
          <w:szCs w:val="22"/>
        </w:rPr>
        <w:t xml:space="preserve">Gebruik uitsluitend het geparafraseerde pseudocode-format uit opdracht 5.1 (gewoon Nederlands, geen echte ABAP-syntax) voor de instructie. Toon pas aan het eind, kort en zonder oefening eraan te koppelen, hoe hetzelfde er in echte ABAP-syntax uitziet — puur ter kennismaking, niet om te laten lezen. Dit voorkomt dat de syntax zelf een drempel wordt die het eigenlijke leerdoel (patroonherkenning) in de weg zit.</w:t>
      </w:r>
    </w:p>
    <w:p>
      <w:pPr>
        <w:pStyle w:val="Heading3"/>
        <w:spacing w:after="100" w:before="160"/>
      </w:pPr>
      <w:r>
        <w:rPr>
          <w:rFonts w:ascii="Georgia" w:cs="Georgia" w:eastAsia="Georgia" w:hAnsi="Georgia"/>
          <w:b/>
          <w:bCs/>
          <w:color w:val="1B2A4A"/>
          <w:sz w:val="24"/>
          <w:szCs w:val="24"/>
        </w:rPr>
        <w:t xml:space="preserve">Opdracht 5.3 (1:45)</w:t>
      </w:r>
    </w:p>
    <w:p>
      <w:pPr>
        <w:spacing w:after="140" w:line="300"/>
      </w:pPr>
      <w:r>
        <w:rPr>
          <w:rFonts w:ascii="Calibri" w:cs="Calibri" w:eastAsia="Calibri" w:hAnsi="Calibri"/>
          <w:sz w:val="22"/>
          <w:szCs w:val="22"/>
        </w:rPr>
        <w:t xml:space="preserve">Item b is de belangrijkste discussie van dit onderdeel: een zeer specifieke, eenmalige regel die waarschijnlijk in custom code zit en daardoor "vergeten" raakt. Trek hier expliciet de lijn naar de historische kortingsregel uit reader §1 — dat is precies zo'n regel.</w:t>
      </w:r>
    </w:p>
    <w:p>
      <w:pPr>
        <w:pStyle w:val="Heading3"/>
        <w:spacing w:after="100" w:before="160"/>
      </w:pPr>
      <w:r>
        <w:rPr>
          <w:rFonts w:ascii="Georgia" w:cs="Georgia" w:eastAsia="Georgia" w:hAnsi="Georgia"/>
          <w:b/>
          <w:bCs/>
          <w:color w:val="1B2A4A"/>
          <w:sz w:val="24"/>
          <w:szCs w:val="24"/>
        </w:rPr>
        <w:t xml:space="preserve">Opdracht 5.4 (2:15)</w:t>
      </w:r>
    </w:p>
    <w:p>
      <w:pPr>
        <w:spacing w:after="140" w:line="300"/>
      </w:pPr>
      <w:r>
        <w:rPr>
          <w:rFonts w:ascii="Calibri" w:cs="Calibri" w:eastAsia="Calibri" w:hAnsi="Calibri"/>
          <w:sz w:val="22"/>
          <w:szCs w:val="22"/>
        </w:rPr>
        <w:t xml:space="preserve">Dit is de scherpste oefening van het deel: een discrepantie tussen uitleg en code vinden. Als een deelnemer het antwoord niet direct ziet, geef als hint: "lees de conditie letterlijk, woord voor woord, los van wat de ontwikkelaar er net over zei."</w:t>
      </w:r>
    </w:p>
    <w:p>
      <w:pPr>
        <w:pStyle w:val="Heading3"/>
        <w:spacing w:after="100" w:before="160"/>
      </w:pPr>
      <w:r>
        <w:rPr>
          <w:rFonts w:ascii="Georgia" w:cs="Georgia" w:eastAsia="Georgia" w:hAnsi="Georgia"/>
          <w:b/>
          <w:bCs/>
          <w:color w:val="1B2A4A"/>
          <w:sz w:val="24"/>
          <w:szCs w:val="24"/>
        </w:rPr>
        <w:t xml:space="preserve">Opdracht 5.5 (2:35)</w:t>
      </w:r>
    </w:p>
    <w:p>
      <w:pPr>
        <w:spacing w:after="140" w:line="300"/>
      </w:pPr>
      <w:r>
        <w:rPr>
          <w:rFonts w:ascii="Calibri" w:cs="Calibri" w:eastAsia="Calibri" w:hAnsi="Calibri"/>
          <w:sz w:val="22"/>
          <w:szCs w:val="22"/>
        </w:rPr>
        <w:t xml:space="preserve">Sluit hier bewust de cirkel met reader §1: deelnemers herschrijven nu zelf Sannes vraag aan Jelle, met de vaardigheid die ze net hebben opgebouwd. Laat minstens twee groepen hun versie hardop voorlezen — het contrast tussen "ik snap dit niet" zonder vervolg en een gerichte vraag is het krachtigste leermoment van het dagdeel.</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Deelnemers met programmeerervaring (ook buiten ABAP). Voor hen is §3 eenvoudig; zet hen in bij opdracht 5.4 als eerste om het patroon te demonstreren, maar waarschuw hen expliciet dat dit deel niet over syntax-precisie gaat maar over het vinden van de bedrijfsregel — een andere leesvaardigheid dan waar zij mogelijk aan gewend zijn.</w:t>
      </w:r>
    </w:p>
    <w:p>
      <w:pPr>
        <w:spacing w:after="140" w:line="300"/>
      </w:pPr>
      <w:r>
        <w:rPr>
          <w:rFonts w:ascii="Calibri" w:cs="Calibri" w:eastAsia="Calibri" w:hAnsi="Calibri"/>
          <w:sz w:val="22"/>
          <w:szCs w:val="22"/>
        </w:rPr>
        <w:t xml:space="preserve">Deelnemers zonder enige technische achtergrond. De grootste drempelgroep. Herhaal vaker dan bij andere delen: fouten maken in het herkennen van bouwstenen is hier zonder consequentie, want er wordt niets gebouwd. Gebruik zoveel mogelijk het Jelle-Sanne-verhaal als terugkerend anker in plaats van abstracte voorbeelden.</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"Moet ik nu wel echte ABAP-syntax herkennen, of is de pseudocode genoeg?" Voor het doel van deze cursus is het patroon (variabele/conditie/lus/functieaanroep) genoeg, ongeacht de exacte syntax van het systeem waarin je uiteindelijk werkt. Syntax is een implementatiedetail (deel 1 §4.3); het patroon is het concept.</w:t>
      </w:r>
    </w:p>
    <w:p>
      <w:pPr>
        <w:spacing w:after="140" w:line="300"/>
      </w:pPr>
      <w:r>
        <w:rPr>
          <w:rFonts w:ascii="Calibri" w:cs="Calibri" w:eastAsia="Calibri" w:hAnsi="Calibri"/>
          <w:sz w:val="22"/>
          <w:szCs w:val="22"/>
        </w:rPr>
        <w:t xml:space="preserve">"Wat als een ontwikkelaar niet wil dat ik meekijk in de code?" Buiten de scope van dit deel, maar relevant om kort te benoemen: dit hoort een organisatorische, geen technische vraag te zijn. Als dit weerstand oproept in de groep, verwijs naar de rolafbakening uit deel 1 §5.1 — meekijken is geen overname van de ontwikkelaarsrol.</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w:t>
      </w:r>
    </w:p>
    <w:p>
      <w:pPr>
        <w:pStyle w:val="ListParagraph"/>
        <w:numPr>
          <w:ilvl w:val="0"/>
          <w:numId w:val="1"/>
        </w:numPr>
        <w:spacing w:after="80"/>
      </w:pPr>
      <w:r>
        <w:rPr>
          <w:rFonts w:ascii="Calibri" w:cs="Calibri" w:eastAsia="Calibri" w:hAnsi="Calibri"/>
          <w:sz w:val="22"/>
          <w:szCs w:val="22"/>
        </w:rPr>
        <w:t xml:space="preserve">Slidedeck deel 5.</w:t>
      </w:r>
    </w:p>
    <w:p>
      <w:pPr>
        <w:pStyle w:val="ListParagraph"/>
        <w:numPr>
          <w:ilvl w:val="0"/>
          <w:numId w:val="1"/>
        </w:numPr>
        <w:spacing w:after="80"/>
      </w:pPr>
      <w:r>
        <w:rPr>
          <w:rFonts w:ascii="Calibri" w:cs="Calibri" w:eastAsia="Calibri" w:hAnsi="Calibri"/>
          <w:sz w:val="22"/>
          <w:szCs w:val="22"/>
        </w:rPr>
        <w:t xml:space="preserve">Optioneel: een kort, geanonimiseerd echt ABAP-fragment als illustratie ná de pseudocode-oefeningen (niet als opdrachtmateriaal).</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toetsing. Let op deelnemers die bij opdracht 5.4 de discrepantie wel zien maar er geen vervolgvraag bij formuleren — dat wijst op onvoldoende beklijving van reader §6 en verdient een korte individuele aanmoediging vóór deel 6.</w:t>
      </w:r>
    </w:p>
    <w:p>
      <w:pPr>
        <w:pStyle w:val="Heading2"/>
        <w:spacing w:after="120" w:before="200"/>
      </w:pPr>
      <w:r>
        <w:rPr>
          <w:rFonts w:ascii="Georgia" w:cs="Georgia" w:eastAsia="Georgia" w:hAnsi="Georgia"/>
          <w:b/>
          <w:bCs/>
          <w:color w:val="2C5AA0"/>
          <w:sz w:val="28"/>
          <w:szCs w:val="28"/>
        </w:rPr>
        <w:t xml:space="preserve">8. Voorbereiding op deel 6</w:t>
      </w:r>
    </w:p>
    <w:p>
      <w:pPr>
        <w:spacing w:after="140" w:line="300"/>
      </w:pPr>
      <w:r>
        <w:rPr>
          <w:rFonts w:ascii="Calibri" w:cs="Calibri" w:eastAsia="Calibri" w:hAnsi="Calibri"/>
          <w:sz w:val="22"/>
          <w:szCs w:val="22"/>
        </w:rPr>
        <w:t xml:space="preserve">Deel 6 bouwt rechtstreeks voort op het onderscheid configuratie/custom code uit reader §4. Geen aanvullende voorbereiding nodig.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2026-08-16T20:12:38.625Z</dcterms:created>
  <dcterms:modified xsi:type="dcterms:W3CDTF">2026-08-16T20:12:38.625Z</dcterms:modified>
</cp:coreProperties>
</file>

<file path=docProps/custom.xml><?xml version="1.0" encoding="utf-8"?>
<Properties xmlns="http://schemas.openxmlformats.org/officeDocument/2006/custom-properties" xmlns:vt="http://schemas.openxmlformats.org/officeDocument/2006/docPropsVTypes"/>
</file>