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6 — Business logica &amp; uitbreidingen</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bouwt direct voort op deel 5 en verscherpt het onderscheid configuratie/custom code naar een praktisch beslismodel. Het gevaar is dat dit deel te abstract blijft ("configuratie versus development") zonder de emotionele lading die het in de praktijk heeft: teleurstelling wanneer iets dat "klein" leek, groot blijkt.</w:t>
      </w:r>
    </w:p>
    <w:p>
      <w:pPr>
        <w:spacing w:after="140" w:line="300"/>
      </w:pPr>
      <w:r>
        <w:rPr>
          <w:rFonts w:ascii="Calibri" w:cs="Calibri" w:eastAsia="Calibri" w:hAnsi="Calibri"/>
          <w:sz w:val="22"/>
          <w:szCs w:val="22"/>
        </w:rPr>
        <w:t xml:space="preserve">Als deelnemers na dit dagdeel één zin onthouden, is het deze: "is dit configuratie of maatwerk" heeft zelden een antwoord voordat iemand het heeft uitgezocht — maar de vraag is altijd op tijd te stellen.</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 dat niet gewoon een vinkje zijn?"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Customizing versus development, de schuifbalk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User exits en BAdI's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klein zelden klein is (reader §5) + opdracht 6.3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wijzigingsverzoek formuleren (reader §6) + opdracht 6.4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6.5 rollenspel,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bl>
    <w:p>
      <w:pPr>
        <w:spacing w:after="140" w:line="300"/>
      </w:pPr>
      <w:r>
        <w:rPr>
          <w:rFonts w:ascii="Calibri" w:cs="Calibri" w:eastAsia="Calibri" w:hAnsi="Calibri"/>
          <w:sz w:val="22"/>
          <w:szCs w:val="22"/>
        </w:rPr>
        <w:t xml:space="preserve">Opdracht 6.6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Het vinkje-verhaal (0:00)</w:t>
      </w:r>
    </w:p>
    <w:p>
      <w:pPr>
        <w:spacing w:after="140" w:line="300"/>
      </w:pPr>
      <w:r>
        <w:rPr>
          <w:rFonts w:ascii="Calibri" w:cs="Calibri" w:eastAsia="Calibri" w:hAnsi="Calibri"/>
          <w:sz w:val="22"/>
          <w:szCs w:val="22"/>
        </w:rPr>
        <w:t xml:space="preserve">Speel dit desgewenst kort na als korte scène (twee deelnemers spelen Priya en Jelle) in plaats van het alleen te vertellen — de spanning tussen hun twee antwoorden landt beter als hij hoorbaar is.</w:t>
      </w:r>
    </w:p>
    <w:p>
      <w:pPr>
        <w:pStyle w:val="Heading3"/>
        <w:spacing w:after="100" w:before="160"/>
      </w:pPr>
      <w:r>
        <w:rPr>
          <w:rFonts w:ascii="Georgia" w:cs="Georgia" w:eastAsia="Georgia" w:hAnsi="Georgia"/>
          <w:b/>
          <w:bCs/>
          <w:color w:val="1B2A4A"/>
          <w:sz w:val="24"/>
          <w:szCs w:val="24"/>
        </w:rPr>
        <w:t xml:space="preserve">De schuifbalk (0:15)</w:t>
      </w:r>
    </w:p>
    <w:p>
      <w:pPr>
        <w:spacing w:after="140" w:line="300"/>
      </w:pPr>
      <w:r>
        <w:rPr>
          <w:rFonts w:ascii="Calibri" w:cs="Calibri" w:eastAsia="Calibri" w:hAnsi="Calibri"/>
          <w:sz w:val="22"/>
          <w:szCs w:val="22"/>
        </w:rPr>
        <w:t xml:space="preserve">Vermijd dat deelnemers de schuifbalk als een technische classificatie zien die zij zelf moeten kunnen toepassen. Het doel is bewustzijn dat het grijze midden bestaat, niet vaardigheid om er zelf een plek op aan te wijzen — dat blijft de rol van consultant en ontwikkelaar samen.</w:t>
      </w:r>
    </w:p>
    <w:p>
      <w:pPr>
        <w:pStyle w:val="Heading3"/>
        <w:spacing w:after="100" w:before="160"/>
      </w:pPr>
      <w:r>
        <w:rPr>
          <w:rFonts w:ascii="Georgia" w:cs="Georgia" w:eastAsia="Georgia" w:hAnsi="Georgia"/>
          <w:b/>
          <w:bCs/>
          <w:color w:val="1B2A4A"/>
          <w:sz w:val="24"/>
          <w:szCs w:val="24"/>
        </w:rPr>
        <w:t xml:space="preserve">User exits/BAdI's (1:10)</w:t>
      </w:r>
    </w:p>
    <w:p>
      <w:pPr>
        <w:spacing w:after="140" w:line="300"/>
      </w:pPr>
      <w:r>
        <w:rPr>
          <w:rFonts w:ascii="Calibri" w:cs="Calibri" w:eastAsia="Calibri" w:hAnsi="Calibri"/>
          <w:sz w:val="22"/>
          <w:szCs w:val="22"/>
        </w:rPr>
        <w:t xml:space="preserve">Houd dit deel bewust kort en concreet — de techniek zelf is niet het leerdoel. Eindig met de ene bruikbare vraag uit §4.2 ("voorzien haakje of niet") en laat de rest liggen.</w:t>
      </w:r>
    </w:p>
    <w:p>
      <w:pPr>
        <w:pStyle w:val="Heading3"/>
        <w:spacing w:after="100" w:before="160"/>
      </w:pPr>
      <w:r>
        <w:rPr>
          <w:rFonts w:ascii="Georgia" w:cs="Georgia" w:eastAsia="Georgia" w:hAnsi="Georgia"/>
          <w:b/>
          <w:bCs/>
          <w:color w:val="1B2A4A"/>
          <w:sz w:val="24"/>
          <w:szCs w:val="24"/>
        </w:rPr>
        <w:t xml:space="preserve">Opdracht 6.3 (2:00)</w:t>
      </w:r>
    </w:p>
    <w:p>
      <w:pPr>
        <w:spacing w:after="140" w:line="300"/>
      </w:pPr>
      <w:r>
        <w:rPr>
          <w:rFonts w:ascii="Calibri" w:cs="Calibri" w:eastAsia="Calibri" w:hAnsi="Calibri"/>
          <w:sz w:val="22"/>
          <w:szCs w:val="22"/>
        </w:rPr>
        <w:t xml:space="preserve">De kern van dit deel. Laat groepen expliciet alle drie de redenen (verborgen afhankelijkheid, testomvang, onderhoudslast) apart benoemen — niet alleen "het is ingewikkelder dan gedacht" als vage constatering.</w:t>
      </w:r>
    </w:p>
    <w:p>
      <w:pPr>
        <w:pStyle w:val="Heading3"/>
        <w:spacing w:after="100" w:before="160"/>
      </w:pPr>
      <w:r>
        <w:rPr>
          <w:rFonts w:ascii="Georgia" w:cs="Georgia" w:eastAsia="Georgia" w:hAnsi="Georgia"/>
          <w:b/>
          <w:bCs/>
          <w:color w:val="1B2A4A"/>
          <w:sz w:val="24"/>
          <w:szCs w:val="24"/>
        </w:rPr>
        <w:t xml:space="preserve">Opdracht 6.5 (2:40)</w:t>
      </w:r>
    </w:p>
    <w:p>
      <w:pPr>
        <w:spacing w:after="140" w:line="300"/>
      </w:pPr>
      <w:r>
        <w:rPr>
          <w:rFonts w:ascii="Calibri" w:cs="Calibri" w:eastAsia="Calibri" w:hAnsi="Calibri"/>
          <w:sz w:val="22"/>
          <w:szCs w:val="22"/>
        </w:rPr>
        <w:t xml:space="preserve">Bewaak tijdens het rollenspel dat de deelnemer die Sanne speelt niet zelf de technische knoop doorhakt — dat is een veelvoorkomende reflex bij deelnemers die zich ongemakkelijk voelen bij "ik weet het niet". Grijp in als dat gebeurt en herinner aan de rolafbakening uit deel 1 §5.1.</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ervaring in requirementsgesprekken (bijvoorbeeld uit andere BA-rollen). Zij herkennen het patroon uit reader §6 snel — laat hen bij opdracht 6.4 als eerste hun herschrijving delen.</w:t>
      </w:r>
    </w:p>
    <w:p>
      <w:pPr>
        <w:spacing w:after="140" w:line="300"/>
      </w:pPr>
      <w:r>
        <w:rPr>
          <w:rFonts w:ascii="Calibri" w:cs="Calibri" w:eastAsia="Calibri" w:hAnsi="Calibri"/>
          <w:sz w:val="22"/>
          <w:szCs w:val="22"/>
        </w:rPr>
        <w:t xml:space="preserve">Deelnemers met een sterk technische achtergrond. Risico: zij willen zelf de technische inschatting maken in plaats van de vraag open te laten. Herinner hen eraan dat het doel van deze cursus is de vraag te stellen, niet het antwoord te forceren.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"Wie beslist uiteindelijk of iets configuratie of maatwerk wordt?" Meestal een gezamenlijke inschatting van consultant en ontwikkelaar, soms met een architectuur- of governancegremium erbij bij grotere impact. Niet de BA alleen — maar de BA hoort wel de organisatiebehoefte scherp te houden tijdens dat gesprek.</w:t>
      </w:r>
    </w:p>
    <w:p>
      <w:pPr>
        <w:spacing w:after="140" w:line="300"/>
      </w:pPr>
      <w:r>
        <w:rPr>
          <w:rFonts w:ascii="Calibri" w:cs="Calibri" w:eastAsia="Calibri" w:hAnsi="Calibri"/>
          <w:sz w:val="22"/>
          <w:szCs w:val="22"/>
        </w:rPr>
        <w:t xml:space="preserve">"Is maatwerk altijd slecht?" Nee, expliciet nee — soms is een organisatiebehoefte zo specifiek dat geen enkele standaardconfiguratie volstaat, en dan is maatwerk de juiste keuze. Het punt van dit deel is niet "vermijd maatwerk," maar "weet wat de gevolgen zijn van de keuze, ongeacht welke kant die opvalt."</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Whiteboard voor de schuifbalk-tekening.</w:t>
      </w:r>
    </w:p>
    <w:p>
      <w:pPr>
        <w:pStyle w:val="ListParagraph"/>
        <w:numPr>
          <w:ilvl w:val="0"/>
          <w:numId w:val="1"/>
        </w:numPr>
        <w:spacing w:after="80"/>
      </w:pPr>
      <w:r>
        <w:rPr>
          <w:rFonts w:ascii="Calibri" w:cs="Calibri" w:eastAsia="Calibri" w:hAnsi="Calibri"/>
          <w:sz w:val="22"/>
          <w:szCs w:val="22"/>
        </w:rPr>
        <w:t xml:space="preserve">Slidedeck deel 6.</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6.1c stellig kiezen voor óf puur customizing óf puur development — dat wijst op onvoldoende beklijving van het grijze midden uit reader §3.3.</w:t>
      </w:r>
    </w:p>
    <w:p>
      <w:pPr>
        <w:pStyle w:val="Heading2"/>
        <w:spacing w:after="120" w:before="200"/>
      </w:pPr>
      <w:r>
        <w:rPr>
          <w:rFonts w:ascii="Georgia" w:cs="Georgia" w:eastAsia="Georgia" w:hAnsi="Georgia"/>
          <w:b/>
          <w:bCs/>
          <w:color w:val="2C5AA0"/>
          <w:sz w:val="28"/>
          <w:szCs w:val="28"/>
        </w:rPr>
        <w:t xml:space="preserve">8. Voorbereiding op deel 7</w:t>
      </w:r>
    </w:p>
    <w:p>
      <w:pPr>
        <w:spacing w:after="140" w:line="300"/>
      </w:pPr>
      <w:r>
        <w:rPr>
          <w:rFonts w:ascii="Calibri" w:cs="Calibri" w:eastAsia="Calibri" w:hAnsi="Calibri"/>
          <w:sz w:val="22"/>
          <w:szCs w:val="22"/>
        </w:rPr>
        <w:t xml:space="preserve">Deel 7 (Integratie &amp; interfaces) staat inhoudelijk los van dit deel, maar de casus vervolgt: Marijkes vinkje-vraag (nog niet definitief opgelost in dit deel) kan in de nabespreking van deel 7 kort worden opgehaald als de groep daarnaar vraagt.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2026-08-16T20:12:40.046Z</dcterms:created>
  <dcterms:modified xsi:type="dcterms:W3CDTF">2026-08-16T20:12:40.046Z</dcterms:modified>
</cp:coreProperties>
</file>

<file path=docProps/custom.xml><?xml version="1.0" encoding="utf-8"?>
<Properties xmlns="http://schemas.openxmlformats.org/officeDocument/2006/custom-properties" xmlns:vt="http://schemas.openxmlformats.org/officeDocument/2006/docPropsVTypes"/>
</file>