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8 — Rapportage &amp; analytics voor BA's</w:t>
      </w:r>
    </w:p>
    <w:p>
      <w:pPr>
        <w:spacing w:after="300"/>
      </w:pPr>
      <w:r>
        <w:rPr>
          <w:rFonts w:ascii="Calibri" w:cs="Calibri" w:eastAsia="Calibri" w:hAnsi="Calibri"/>
          <w:i/>
          <w:iCs/>
          <w:color w:val="2C5AA0"/>
          <w:sz w:val="22"/>
          <w:szCs w:val="22"/>
        </w:rPr>
        <w:t xml:space="preserve">Docentenhandleiding · Niveau 1 Fundamenten · Cursus SAP voor Business Analysts · Ductus</w:t>
      </w:r>
    </w:p>
    <w:p>
      <w:pPr>
        <w:pStyle w:val="Heading2"/>
        <w:spacing w:after="120" w:before="200"/>
      </w:pPr>
      <w:r>
        <w:rPr>
          <w:rFonts w:ascii="Georgia" w:cs="Georgia" w:eastAsia="Georgia" w:hAnsi="Georgia"/>
          <w:b/>
          <w:bCs/>
          <w:color w:val="2C5AA0"/>
          <w:sz w:val="28"/>
          <w:szCs w:val="28"/>
        </w:rPr>
        <w:t xml:space="preserve">1. Bedoeling van dit deel</w:t>
      </w:r>
    </w:p>
    <w:p>
      <w:pPr>
        <w:spacing w:after="140" w:line="300"/>
      </w:pPr>
      <w:r>
        <w:rPr>
          <w:rFonts w:ascii="Calibri" w:cs="Calibri" w:eastAsia="Calibri" w:hAnsi="Calibri"/>
          <w:sz w:val="22"/>
          <w:szCs w:val="22"/>
        </w:rPr>
        <w:t xml:space="preserve">Zoals deel 4 is dit een van de twee toevoegingen in niveau 1 zonder v2.0-bronmateriaal. Het risico is dat het deel te instrumenteel wordt gedoceerd (drie routes, klaar) zonder de kritische reflex uit §5 (wat telt dit getal precies) goed te laten landen — die reflex is de eigenlijke leerwinst, niet de indeling in drie routes.</w:t>
      </w:r>
    </w:p>
    <w:p>
      <w:pPr>
        <w:spacing w:after="140" w:line="300"/>
      </w:pPr>
      <w:r>
        <w:rPr>
          <w:rFonts w:ascii="Calibri" w:cs="Calibri" w:eastAsia="Calibri" w:hAnsi="Calibri"/>
          <w:sz w:val="22"/>
          <w:szCs w:val="22"/>
        </w:rPr>
        <w:t xml:space="preserve">Als deelnemers na dit dagdeel één zin onthouden, is het deze: een getal zonder een precieze definitie van wat het meet, is geen informatie maar een gok met een decimaal.</w:t>
      </w:r>
    </w:p>
    <w:p>
      <w:pPr>
        <w:pStyle w:val="Heading2"/>
        <w:spacing w:after="120" w:before="200"/>
      </w:pPr>
      <w:r>
        <w:rPr>
          <w:rFonts w:ascii="Georgia" w:cs="Georgia" w:eastAsia="Georgia" w:hAnsi="Georgia"/>
          <w:b/>
          <w:bCs/>
          <w:color w:val="2C5AA0"/>
          <w:sz w:val="28"/>
          <w:szCs w:val="28"/>
        </w:rPr>
        <w:t xml:space="preserve">2. Programma dagdeel (3 uur, inclusief twee pauzes)</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Rob's vraag aan Sanne (reader §1)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verhalend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Drie routes (reader §3)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0:45–1:05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8.1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1:05–1:15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1:15–1:30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Wanneer een ontwikkelaar nodig is (reader §4)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1:30–1:55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valkuil: cijfers zonder betekenis (reader §5) + opdracht 8.2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 tweetallen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1:55–2:05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2:05–2:25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Een goede rapportagevraag (reader §6) + opdracht 8.3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 individueel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2:25–3:00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8.4, afsluiting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groepjes + plenair</w:t>
            </w:r>
          </w:p>
        </w:tc>
      </w:tr>
    </w:tbl>
    <w:p>
      <w:pPr>
        <w:spacing w:after="140" w:line="300"/>
      </w:pPr>
      <w:r>
        <w:rPr>
          <w:rFonts w:ascii="Calibri" w:cs="Calibri" w:eastAsia="Calibri" w:hAnsi="Calibri"/>
          <w:sz w:val="22"/>
          <w:szCs w:val="22"/>
        </w:rPr>
        <w:t xml:space="preserve">Opdracht 8.5 is huiswerk.</w:t>
      </w:r>
    </w:p>
    <w:p>
      <w:pPr>
        <w:pStyle w:val="Heading2"/>
        <w:spacing w:after="120" w:before="200"/>
      </w:pPr>
      <w:r>
        <w:rPr>
          <w:rFonts w:ascii="Georgia" w:cs="Georgia" w:eastAsia="Georgia" w:hAnsi="Georgia"/>
          <w:b/>
          <w:bCs/>
          <w:color w:val="2C5AA0"/>
          <w:sz w:val="28"/>
          <w:szCs w:val="28"/>
        </w:rPr>
        <w:t xml:space="preserve">3. Aandachtspunten per onderdeel</w:t>
      </w:r>
    </w:p>
    <w:p>
      <w:pPr>
        <w:pStyle w:val="Heading3"/>
        <w:spacing w:after="100" w:before="160"/>
      </w:pPr>
      <w:r>
        <w:rPr>
          <w:rFonts w:ascii="Georgia" w:cs="Georgia" w:eastAsia="Georgia" w:hAnsi="Georgia"/>
          <w:b/>
          <w:bCs/>
          <w:color w:val="1B2A4A"/>
          <w:sz w:val="24"/>
          <w:szCs w:val="24"/>
        </w:rPr>
        <w:t xml:space="preserve">Drie routes (0:15)</w:t>
      </w:r>
    </w:p>
    <w:p>
      <w:pPr>
        <w:spacing w:after="140" w:line="300"/>
      </w:pPr>
      <w:r>
        <w:rPr>
          <w:rFonts w:ascii="Calibri" w:cs="Calibri" w:eastAsia="Calibri" w:hAnsi="Calibri"/>
          <w:sz w:val="22"/>
          <w:szCs w:val="22"/>
        </w:rPr>
        <w:t xml:space="preserve">Vermijd de indruk dat dit een strikte, formele classificatie is die de deelnemer voortaan feilloos moet kunnen toepassen. Het is een vuistregel om een eerste inschatting te maken — de daadwerkelijke keuze gebeurt altijd in overleg met een consultant.</w:t>
      </w:r>
    </w:p>
    <w:p>
      <w:pPr>
        <w:pStyle w:val="Heading3"/>
        <w:spacing w:after="100" w:before="160"/>
      </w:pPr>
      <w:r>
        <w:rPr>
          <w:rFonts w:ascii="Georgia" w:cs="Georgia" w:eastAsia="Georgia" w:hAnsi="Georgia"/>
          <w:b/>
          <w:bCs/>
          <w:color w:val="1B2A4A"/>
          <w:sz w:val="24"/>
          <w:szCs w:val="24"/>
        </w:rPr>
        <w:t xml:space="preserve">De valkuil (1:30)</w:t>
      </w:r>
    </w:p>
    <w:p>
      <w:pPr>
        <w:spacing w:after="140" w:line="300"/>
      </w:pPr>
      <w:r>
        <w:rPr>
          <w:rFonts w:ascii="Calibri" w:cs="Calibri" w:eastAsia="Calibri" w:hAnsi="Calibri"/>
          <w:sz w:val="22"/>
          <w:szCs w:val="22"/>
        </w:rPr>
        <w:t xml:space="preserve">Dit is het belangrijkste onderdeel van het dagdeel. Trek expliciet de parallel met het WGP 2.0-testrapport uit de zustercursus (reader §5, slotzin) als de groep dat kent — "elk cijfer klopt en het rapport is toch waardeloos" is precies dezelfde les, hier toegepast op rapportage in plaats van testen.</w:t>
      </w:r>
    </w:p>
    <w:p>
      <w:pPr>
        <w:pStyle w:val="Heading3"/>
        <w:spacing w:after="100" w:before="160"/>
      </w:pPr>
      <w:r>
        <w:rPr>
          <w:rFonts w:ascii="Georgia" w:cs="Georgia" w:eastAsia="Georgia" w:hAnsi="Georgia"/>
          <w:b/>
          <w:bCs/>
          <w:color w:val="1B2A4A"/>
          <w:sz w:val="24"/>
          <w:szCs w:val="24"/>
        </w:rPr>
        <w:t xml:space="preserve">Opdracht 8.3 (2:05)</w:t>
      </w:r>
    </w:p>
    <w:p>
      <w:pPr>
        <w:spacing w:after="140" w:line="300"/>
      </w:pPr>
      <w:r>
        <w:rPr>
          <w:rFonts w:ascii="Calibri" w:cs="Calibri" w:eastAsia="Calibri" w:hAnsi="Calibri"/>
          <w:sz w:val="22"/>
          <w:szCs w:val="22"/>
        </w:rPr>
        <w:t xml:space="preserve">Laat minstens twee deelnemers hun herformulering van Rob's vraag hardop voorlezen. Het verschil tussen de oorspronkelijke, vage vraag en de herschreven versie is het krachtigste leermoment van dit deel.</w:t>
      </w:r>
    </w:p>
    <w:p>
      <w:pPr>
        <w:pStyle w:val="Heading2"/>
        <w:spacing w:after="120" w:before="200"/>
      </w:pPr>
      <w:r>
        <w:rPr>
          <w:rFonts w:ascii="Georgia" w:cs="Georgia" w:eastAsia="Georgia" w:hAnsi="Georgia"/>
          <w:b/>
          <w:bCs/>
          <w:color w:val="2C5AA0"/>
          <w:sz w:val="28"/>
          <w:szCs w:val="28"/>
        </w:rPr>
        <w:t xml:space="preserve">4. Omgaan met verschillende deelnemersgroepen</w:t>
      </w:r>
    </w:p>
    <w:p>
      <w:pPr>
        <w:spacing w:after="140" w:line="300"/>
      </w:pPr>
      <w:r>
        <w:rPr>
          <w:rFonts w:ascii="Calibri" w:cs="Calibri" w:eastAsia="Calibri" w:hAnsi="Calibri"/>
          <w:sz w:val="22"/>
          <w:szCs w:val="22"/>
        </w:rPr>
        <w:t xml:space="preserve">Deelnemers met een BI/rapportage-achtergrond. Voor hen is dit deel grotendeels bevestiging van wat ze al weten — zet hen in als eerste bij opdracht 8.1 en 8.4, maar houd de discussie gericht op SAP-specifieke termen (standaardrapport/query/embedded analytics), niet op generieke BI-theorie.</w:t>
      </w:r>
    </w:p>
    <w:p>
      <w:pPr>
        <w:spacing w:after="140" w:line="300"/>
      </w:pPr>
      <w:r>
        <w:rPr>
          <w:rFonts w:ascii="Calibri" w:cs="Calibri" w:eastAsia="Calibri" w:hAnsi="Calibri"/>
          <w:sz w:val="22"/>
          <w:szCs w:val="22"/>
        </w:rPr>
        <w:t xml:space="preserve">Deelnemers zonder rapportage-ervaring. Voor hen is het onderscheid tussen de drie routes nieuw terrein. Gebruik uitsluitend de Meridiaan-voorbeelden, vermijd abstracte BI-vakjargon dat niet in de reader staat.</w:t>
      </w:r>
    </w:p>
    <w:p>
      <w:pPr>
        <w:pStyle w:val="Heading2"/>
        <w:spacing w:after="120" w:before="200"/>
      </w:pPr>
      <w:r>
        <w:rPr>
          <w:rFonts w:ascii="Georgia" w:cs="Georgia" w:eastAsia="Georgia" w:hAnsi="Georgia"/>
          <w:b/>
          <w:bCs/>
          <w:color w:val="2C5AA0"/>
          <w:sz w:val="28"/>
          <w:szCs w:val="28"/>
        </w:rPr>
        <w:t xml:space="preserve">5. Veelgestelde vragen</w:t>
      </w:r>
    </w:p>
    <w:p>
      <w:pPr>
        <w:spacing w:after="140" w:line="300"/>
      </w:pPr>
      <w:r>
        <w:rPr>
          <w:rFonts w:ascii="Calibri" w:cs="Calibri" w:eastAsia="Calibri" w:hAnsi="Calibri"/>
          <w:sz w:val="22"/>
          <w:szCs w:val="22"/>
        </w:rPr>
        <w:t xml:space="preserve">"Moet ik nu zelf queries leren bouwen?" Niet in deze cursus — het doel is herkennen wanneer een query de juiste route is, niet zelf de querytool bedienen. Dat laatste vergt praktijktraining op de specifieke tool die je organisatie gebruikt.</w:t>
      </w:r>
    </w:p>
    <w:p>
      <w:pPr>
        <w:spacing w:after="140" w:line="300"/>
      </w:pPr>
      <w:r>
        <w:rPr>
          <w:rFonts w:ascii="Calibri" w:cs="Calibri" w:eastAsia="Calibri" w:hAnsi="Calibri"/>
          <w:sz w:val="22"/>
          <w:szCs w:val="22"/>
        </w:rPr>
        <w:t xml:space="preserve">"Waarom komt de Universal Journal pas in deel 15 aan bod, terwijl dit deel er al naar verwijst?" Dit deel geeft een vooruitblik omdat rapportage het meest voelbare gevolg is van het S/4HANA-datamodel; de volledige financiële uitleg hoort beter thuis bij de financiële schaduw-behandeling in deel 15, waar de casus daar rijp voor is.</w:t>
      </w:r>
    </w:p>
    <w:p>
      <w:pPr>
        <w:pStyle w:val="Heading2"/>
        <w:spacing w:after="120" w:before="200"/>
      </w:pPr>
      <w:r>
        <w:rPr>
          <w:rFonts w:ascii="Georgia" w:cs="Georgia" w:eastAsia="Georgia" w:hAnsi="Georgia"/>
          <w:b/>
          <w:bCs/>
          <w:color w:val="2C5AA0"/>
          <w:sz w:val="28"/>
          <w:szCs w:val="28"/>
        </w:rPr>
        <w:t xml:space="preserve">6. Benodigdheden</w:t>
      </w:r>
    </w:p>
    <w:p>
      <w:pPr>
        <w:pStyle w:val="ListParagraph"/>
        <w:numPr>
          <w:ilvl w:val="0"/>
          <w:numId w:val="1"/>
        </w:numPr>
        <w:spacing w:after="80"/>
      </w:pPr>
      <w:r>
        <w:rPr>
          <w:rFonts w:ascii="Calibri" w:cs="Calibri" w:eastAsia="Calibri" w:hAnsi="Calibri"/>
          <w:sz w:val="22"/>
          <w:szCs w:val="22"/>
        </w:rPr>
        <w:t xml:space="preserve">Casusdossier-aanvulling SAP.</w:t>
      </w:r>
    </w:p>
    <w:p>
      <w:pPr>
        <w:pStyle w:val="ListParagraph"/>
        <w:numPr>
          <w:ilvl w:val="0"/>
          <w:numId w:val="1"/>
        </w:numPr>
        <w:spacing w:after="80"/>
      </w:pPr>
      <w:r>
        <w:rPr>
          <w:rFonts w:ascii="Calibri" w:cs="Calibri" w:eastAsia="Calibri" w:hAnsi="Calibri"/>
          <w:sz w:val="22"/>
          <w:szCs w:val="22"/>
        </w:rPr>
        <w:t xml:space="preserve">Slidedeck deel 8.</w:t>
      </w:r>
    </w:p>
    <w:p>
      <w:pPr>
        <w:pStyle w:val="Heading2"/>
        <w:spacing w:after="120" w:before="200"/>
      </w:pPr>
      <w:r>
        <w:rPr>
          <w:rFonts w:ascii="Georgia" w:cs="Georgia" w:eastAsia="Georgia" w:hAnsi="Georgia"/>
          <w:b/>
          <w:bCs/>
          <w:color w:val="2C5AA0"/>
          <w:sz w:val="28"/>
          <w:szCs w:val="28"/>
        </w:rPr>
        <w:t xml:space="preserve">7. Beoordeling en doorstroom</w:t>
      </w:r>
    </w:p>
    <w:p>
      <w:pPr>
        <w:spacing w:after="140" w:line="300"/>
      </w:pPr>
      <w:r>
        <w:rPr>
          <w:rFonts w:ascii="Calibri" w:cs="Calibri" w:eastAsia="Calibri" w:hAnsi="Calibri"/>
          <w:sz w:val="22"/>
          <w:szCs w:val="22"/>
        </w:rPr>
        <w:t xml:space="preserve">Geen formele toetsing. Let op deelnemers die bij opdracht 8.2 slechts één definitie van "312" bedenken in plaats van meerdere — dat wijst op onvoldoende beklijving van de kern van dit deel.</w:t>
      </w:r>
    </w:p>
    <w:p>
      <w:pPr>
        <w:pStyle w:val="Heading2"/>
        <w:spacing w:after="120" w:before="200"/>
      </w:pPr>
      <w:r>
        <w:rPr>
          <w:rFonts w:ascii="Georgia" w:cs="Georgia" w:eastAsia="Georgia" w:hAnsi="Georgia"/>
          <w:b/>
          <w:bCs/>
          <w:color w:val="2C5AA0"/>
          <w:sz w:val="28"/>
          <w:szCs w:val="28"/>
        </w:rPr>
        <w:t xml:space="preserve">8. Voorbereiding op deel 9</w:t>
      </w:r>
    </w:p>
    <w:p>
      <w:pPr>
        <w:spacing w:after="140" w:line="300"/>
      </w:pPr>
      <w:r>
        <w:rPr>
          <w:rFonts w:ascii="Calibri" w:cs="Calibri" w:eastAsia="Calibri" w:hAnsi="Calibri"/>
          <w:sz w:val="22"/>
          <w:szCs w:val="22"/>
        </w:rPr>
        <w:t xml:space="preserve">Deel 9 (De BA-werkstroom in SAP-projecten) bouwt niet rechtstreeks voort op dit deel, maar rondt niveau 1 inhoudelijk af vóór de capstone in deel 10. Geen specifieke voorbereiding nodig.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1 Fundamenten · Deel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2026-08-16T20:12:41.827Z</dcterms:created>
  <dcterms:modified xsi:type="dcterms:W3CDTF">2026-08-16T20:12:41.827Z</dcterms:modified>
</cp:coreProperties>
</file>

<file path=docProps/custom.xml><?xml version="1.0" encoding="utf-8"?>
<Properties xmlns="http://schemas.openxmlformats.org/officeDocument/2006/custom-properties" xmlns:vt="http://schemas.openxmlformats.org/officeDocument/2006/docPropsVTypes"/>
</file>