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10 — Examentraining + capstone</w:t>
      </w:r>
    </w:p>
    <w:p>
      <w:pPr>
        <w:spacing w:after="300"/>
      </w:pPr>
      <w:r>
        <w:rPr>
          <w:rFonts w:ascii="Calibri" w:cs="Calibri" w:eastAsia="Calibri" w:hAnsi="Calibri"/>
          <w:i/>
          <w:iCs/>
          <w:color w:val="2C5AA0"/>
          <w:sz w:val="22"/>
          <w:szCs w:val="22"/>
        </w:rPr>
        <w:t xml:space="preserve">Docentenhandleiding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is het slotdeel van niveau 1: twee dagdelen, geen nieuwe stof, uitsluitend synthese en toepassing. De bekwaamheidstoets dient zelfreflectie, niet certificering (deze cursus kent geen extern examenanker, zie OPZET §1) — communiceer dat expliciet zodat er geen verwarring ontstaat met de zustercursus, die wél een extern examen kent.</w:t>
      </w:r>
    </w:p>
    <w:p>
      <w:pPr>
        <w:spacing w:after="140" w:line="300"/>
      </w:pPr>
      <w:r>
        <w:rPr>
          <w:rFonts w:ascii="Calibri" w:cs="Calibri" w:eastAsia="Calibri" w:hAnsi="Calibri"/>
          <w:sz w:val="22"/>
          <w:szCs w:val="22"/>
        </w:rPr>
        <w:t xml:space="preserve">Als deelnemers na dit blok van twee dagdelen één zin onthouden, is het deze: het gaat niet om één juist antwoord, maar om een onderbouwde, verdedigbare keuze.</w:t>
      </w:r>
    </w:p>
    <w:p>
      <w:pPr>
        <w:pStyle w:val="Heading2"/>
        <w:spacing w:after="120" w:before="200"/>
      </w:pPr>
      <w:r>
        <w:rPr>
          <w:rFonts w:ascii="Georgia" w:cs="Georgia" w:eastAsia="Georgia" w:hAnsi="Georgia"/>
          <w:b/>
          <w:bCs/>
          <w:color w:val="2C5AA0"/>
          <w:sz w:val="28"/>
          <w:szCs w:val="28"/>
        </w:rPr>
        <w:t xml:space="preserve">2. Programma (twee dagdelen)</w:t>
      </w:r>
    </w:p>
    <w:p>
      <w:pPr>
        <w:pStyle w:val="Heading3"/>
        <w:spacing w:after="100" w:before="160"/>
      </w:pPr>
      <w:r>
        <w:rPr>
          <w:rFonts w:ascii="Georgia" w:cs="Georgia" w:eastAsia="Georgia" w:hAnsi="Georgia"/>
          <w:b/>
          <w:bCs/>
          <w:color w:val="1B2A4A"/>
          <w:sz w:val="24"/>
          <w:szCs w:val="24"/>
        </w:rPr>
        <w:t xml:space="preserve">Dagdeel A — bekwaamheidstoets (3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 naar deel 1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Strategie en aandachtspunten (reader §2.2)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Bekwaamheidstoets, 40 vragen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tijdsdruk optioneel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Nabespreking per deel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capstone-opdracht, rolverdeling aankondigen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pStyle w:val="Heading3"/>
        <w:spacing w:after="100" w:before="160"/>
      </w:pPr>
      <w:r>
        <w:rPr>
          <w:rFonts w:ascii="Georgia" w:cs="Georgia" w:eastAsia="Georgia" w:hAnsi="Georgia"/>
          <w:b/>
          <w:bCs/>
          <w:color w:val="1B2A4A"/>
          <w:sz w:val="24"/>
          <w:szCs w:val="24"/>
        </w:rPr>
        <w:t xml:space="preserve">Dagdeel B — capstone (3 uur, na individuele voorbereiding vooraf)</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Herhaling opdracht en verdedigingsformat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Verdedigingen (circa 15 min per groep, afhankelijk van groepsgrootte)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rollenspel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Nabespreking verdedigingen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Persoonlijke reflectie, afsluiting niveau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bl>
    <w:p>
      <w:pPr>
        <w:pStyle w:val="Heading2"/>
        <w:spacing w:after="120" w:before="200"/>
      </w:pPr>
      <w:r>
        <w:rPr>
          <w:rFonts w:ascii="Georgia" w:cs="Georgia" w:eastAsia="Georgia" w:hAnsi="Georgia"/>
          <w:b/>
          <w:bCs/>
          <w:color w:val="2C5AA0"/>
          <w:sz w:val="28"/>
          <w:szCs w:val="28"/>
        </w:rPr>
        <w:t xml:space="preserve">3. Aandachtspunten per onderdeel</w:t>
      </w:r>
    </w:p>
    <w:p>
      <w:pPr>
        <w:pStyle w:val="Heading3"/>
        <w:spacing w:after="100" w:before="160"/>
      </w:pPr>
      <w:r>
        <w:rPr>
          <w:rFonts w:ascii="Georgia" w:cs="Georgia" w:eastAsia="Georgia" w:hAnsi="Georgia"/>
          <w:b/>
          <w:bCs/>
          <w:color w:val="1B2A4A"/>
          <w:sz w:val="24"/>
          <w:szCs w:val="24"/>
        </w:rPr>
        <w:t xml:space="preserve">Bekwaamheidstoets (dagdeel A)</w:t>
      </w:r>
    </w:p>
    <w:p>
      <w:pPr>
        <w:spacing w:after="140" w:line="300"/>
      </w:pPr>
      <w:r>
        <w:rPr>
          <w:rFonts w:ascii="Calibri" w:cs="Calibri" w:eastAsia="Calibri" w:hAnsi="Calibri"/>
          <w:sz w:val="22"/>
          <w:szCs w:val="22"/>
        </w:rPr>
        <w:t xml:space="preserve">Laat er geen misverstand over bestaan dat dit geen pass/fail-examen is. Formuleer het als: "dit is een spiegel, geen poort." Deelnemers die hier zwak scoren op een specifiek deel, verdienen gerichte aanmoediging om dat deel te herlezen vóór niveau 2 begint — geen formele consequentie.</w:t>
      </w:r>
    </w:p>
    <w:p>
      <w:pPr>
        <w:pStyle w:val="Heading3"/>
        <w:spacing w:after="100" w:before="160"/>
      </w:pPr>
      <w:r>
        <w:rPr>
          <w:rFonts w:ascii="Georgia" w:cs="Georgia" w:eastAsia="Georgia" w:hAnsi="Georgia"/>
          <w:b/>
          <w:bCs/>
          <w:color w:val="1B2A4A"/>
          <w:sz w:val="24"/>
          <w:szCs w:val="24"/>
        </w:rPr>
        <w:t xml:space="preserve">Capstone-voorbereiding</w:t>
      </w:r>
    </w:p>
    <w:p>
      <w:pPr>
        <w:spacing w:after="140" w:line="300"/>
      </w:pPr>
      <w:r>
        <w:rPr>
          <w:rFonts w:ascii="Calibri" w:cs="Calibri" w:eastAsia="Calibri" w:hAnsi="Calibri"/>
          <w:sz w:val="22"/>
          <w:szCs w:val="22"/>
        </w:rPr>
        <w:t xml:space="preserve">De voorbereiding gebeurt individueel, vooraf — plan hiervoor minstens een week tussen dagdeel A en B, zodat deelnemers de opdracht serieus kunnen doorwerken. Stuur de opdracht (reader §3.1) uiterlijk direct na dagdeel A rond.</w:t>
      </w:r>
    </w:p>
    <w:p>
      <w:pPr>
        <w:pStyle w:val="Heading3"/>
        <w:spacing w:after="100" w:before="160"/>
      </w:pPr>
      <w:r>
        <w:rPr>
          <w:rFonts w:ascii="Georgia" w:cs="Georgia" w:eastAsia="Georgia" w:hAnsi="Georgia"/>
          <w:b/>
          <w:bCs/>
          <w:color w:val="1B2A4A"/>
          <w:sz w:val="24"/>
          <w:szCs w:val="24"/>
        </w:rPr>
        <w:t xml:space="preserve">Rolverdeling verdediging</w:t>
      </w:r>
    </w:p>
    <w:p>
      <w:pPr>
        <w:spacing w:after="140" w:line="300"/>
      </w:pPr>
      <w:r>
        <w:rPr>
          <w:rFonts w:ascii="Calibri" w:cs="Calibri" w:eastAsia="Calibri" w:hAnsi="Calibri"/>
          <w:sz w:val="22"/>
          <w:szCs w:val="22"/>
        </w:rPr>
        <w:t xml:space="preserve">Wijs de rollen projectleider en functioneel consultant toe aan andere deelnemers (niet aan de eigen groep) of speel ze zelf als docent. Bereid voor elke groep vooraf minstens twee specifieke vragen voor, toegespitst op hun ingeleverde analyse — generieke vragen ("waarom denk je dat") landen minder scherp dan vragen die inzoomen op een concrete keuze in hun stuk.</w:t>
      </w:r>
    </w:p>
    <w:p>
      <w:pPr>
        <w:pStyle w:val="Heading3"/>
        <w:spacing w:after="100" w:before="160"/>
      </w:pPr>
      <w:r>
        <w:rPr>
          <w:rFonts w:ascii="Georgia" w:cs="Georgia" w:eastAsia="Georgia" w:hAnsi="Georgia"/>
          <w:b/>
          <w:bCs/>
          <w:color w:val="1B2A4A"/>
          <w:sz w:val="24"/>
          <w:szCs w:val="24"/>
        </w:rPr>
        <w:t xml:space="preserve">Nabespreking verdedigingen (2:30, dagdeel B)</w:t>
      </w:r>
    </w:p>
    <w:p>
      <w:pPr>
        <w:spacing w:after="140" w:line="300"/>
      </w:pPr>
      <w:r>
        <w:rPr>
          <w:rFonts w:ascii="Calibri" w:cs="Calibri" w:eastAsia="Calibri" w:hAnsi="Calibri"/>
          <w:sz w:val="22"/>
          <w:szCs w:val="22"/>
        </w:rPr>
        <w:t xml:space="preserve">Vermijd het aanwijzen van een "beste" groep — er is geen enkel juist antwoord voor dit fictieve scenario. Benoem in plaats daarvan specifieke sterke elementen uit verschillende groepen: de scherpste requirement, de meest overtuigende risicoparagraaf, het beste doorgevoerde onderscheid fit/gap.</w:t>
      </w:r>
    </w:p>
    <w:p>
      <w:pPr>
        <w:pStyle w:val="Heading3"/>
        <w:spacing w:after="100" w:before="160"/>
      </w:pPr>
      <w:r>
        <w:rPr>
          <w:rFonts w:ascii="Georgia" w:cs="Georgia" w:eastAsia="Georgia" w:hAnsi="Georgia"/>
          <w:b/>
          <w:bCs/>
          <w:color w:val="1B2A4A"/>
          <w:sz w:val="24"/>
          <w:szCs w:val="24"/>
        </w:rPr>
        <w:t xml:space="preserve">Persoonlijke afsluiting (2:50)</w:t>
      </w:r>
    </w:p>
    <w:p>
      <w:pPr>
        <w:spacing w:after="140" w:line="300"/>
      </w:pPr>
      <w:r>
        <w:rPr>
          <w:rFonts w:ascii="Calibri" w:cs="Calibri" w:eastAsia="Calibri" w:hAnsi="Calibri"/>
          <w:sz w:val="22"/>
          <w:szCs w:val="22"/>
        </w:rPr>
        <w:t xml:space="preserve">Laat hier ruimte voor stilte — dit is een individueel reflectiemoment, geen groepsdiscussie. Vraag alleen aan wie dat wil, kort te delen wat voor hen het belangrijkste inzicht van niveau 1 was.</w:t>
      </w:r>
    </w:p>
    <w:p>
      <w:pPr>
        <w:pStyle w:val="Heading2"/>
        <w:spacing w:after="120" w:before="200"/>
      </w:pPr>
      <w:r>
        <w:rPr>
          <w:rFonts w:ascii="Georgia" w:cs="Georgia" w:eastAsia="Georgia" w:hAnsi="Georgia"/>
          <w:b/>
          <w:bCs/>
          <w:color w:val="2C5AA0"/>
          <w:sz w:val="28"/>
          <w:szCs w:val="28"/>
        </w:rPr>
        <w:t xml:space="preserve">4. Omgaan met verschillende deelnemersgroepen</w:t>
      </w:r>
    </w:p>
    <w:p>
      <w:pPr>
        <w:spacing w:after="140" w:line="300"/>
      </w:pPr>
      <w:r>
        <w:rPr>
          <w:rFonts w:ascii="Calibri" w:cs="Calibri" w:eastAsia="Calibri" w:hAnsi="Calibri"/>
          <w:sz w:val="22"/>
          <w:szCs w:val="22"/>
        </w:rPr>
        <w:t xml:space="preserve">Snelle, ervaren deelnemers. Geef hen bij de capstone-voorbereiding de aanvullende uitdaging om ook een derde requirement te schrijven, of een alternatief scenario (aanpassen in plaats van uitbreiden) volledig uit te werken als vergelijking.</w:t>
      </w:r>
    </w:p>
    <w:p>
      <w:pPr>
        <w:spacing w:after="140" w:line="300"/>
      </w:pPr>
      <w:r>
        <w:rPr>
          <w:rFonts w:ascii="Calibri" w:cs="Calibri" w:eastAsia="Calibri" w:hAnsi="Calibri"/>
          <w:sz w:val="22"/>
          <w:szCs w:val="22"/>
        </w:rPr>
        <w:t xml:space="preserve">Deelnemers die moeite hebben met de synthese. Bied vóór dagdeel B een kort individueel moment aan om de capstone-opdracht samen door te lopen, met name de vertaalslag van fit-gap-analyse naar requirements — dat is meestal de stap waar de meeste onzekerheid zit.</w:t>
      </w:r>
    </w:p>
    <w:p>
      <w:pPr>
        <w:pStyle w:val="Heading2"/>
        <w:spacing w:after="120" w:before="200"/>
      </w:pPr>
      <w:r>
        <w:rPr>
          <w:rFonts w:ascii="Georgia" w:cs="Georgia" w:eastAsia="Georgia" w:hAnsi="Georgia"/>
          <w:b/>
          <w:bCs/>
          <w:color w:val="2C5AA0"/>
          <w:sz w:val="28"/>
          <w:szCs w:val="28"/>
        </w:rPr>
        <w:t xml:space="preserve">5. Veelgestelde vragen</w:t>
      </w:r>
    </w:p>
    <w:p>
      <w:pPr>
        <w:spacing w:after="140" w:line="300"/>
      </w:pPr>
      <w:r>
        <w:rPr>
          <w:rFonts w:ascii="Calibri" w:cs="Calibri" w:eastAsia="Calibri" w:hAnsi="Calibri"/>
          <w:sz w:val="22"/>
          <w:szCs w:val="22"/>
        </w:rPr>
        <w:t xml:space="preserve">"Waarom geen extern examen, zoals bij de testcursus?" Zie OPZET §1: er bestaat geen actuele, breed erkende SAP-certificering die specifiek op dit BA-domein aansluit. Dit kan bij een toekomstige cursusgroep zijn veranderd — verifieer dit bij aanvang.</w:t>
      </w:r>
    </w:p>
    <w:p>
      <w:pPr>
        <w:spacing w:after="140" w:line="300"/>
      </w:pPr>
      <w:r>
        <w:rPr>
          <w:rFonts w:ascii="Calibri" w:cs="Calibri" w:eastAsia="Calibri" w:hAnsi="Calibri"/>
          <w:sz w:val="22"/>
          <w:szCs w:val="22"/>
        </w:rPr>
        <w:t xml:space="preserve">"Telt de bekwaamheidstoets mee voor iets?" Nee, expliciet niet. Het is een leerinstrument, geen beoordelingsinstrument.</w:t>
      </w:r>
    </w:p>
    <w:p>
      <w:pPr>
        <w:pStyle w:val="Heading2"/>
        <w:spacing w:after="120" w:before="200"/>
      </w:pPr>
      <w:r>
        <w:rPr>
          <w:rFonts w:ascii="Georgia" w:cs="Georgia" w:eastAsia="Georgia" w:hAnsi="Georgia"/>
          <w:b/>
          <w:bCs/>
          <w:color w:val="2C5AA0"/>
          <w:sz w:val="28"/>
          <w:szCs w:val="28"/>
        </w:rPr>
        <w:t xml:space="preserve">6. Benodigdheden</w:t>
      </w:r>
    </w:p>
    <w:p>
      <w:pPr>
        <w:pStyle w:val="ListParagraph"/>
        <w:numPr>
          <w:ilvl w:val="0"/>
          <w:numId w:val="1"/>
        </w:numPr>
        <w:spacing w:after="80"/>
      </w:pPr>
      <w:r>
        <w:rPr>
          <w:rFonts w:ascii="Calibri" w:cs="Calibri" w:eastAsia="Calibri" w:hAnsi="Calibri"/>
          <w:sz w:val="22"/>
          <w:szCs w:val="22"/>
        </w:rPr>
        <w:t xml:space="preserve">Casusdossier-aanvulling SAP.</w:t>
      </w:r>
    </w:p>
    <w:p>
      <w:pPr>
        <w:pStyle w:val="ListParagraph"/>
        <w:numPr>
          <w:ilvl w:val="0"/>
          <w:numId w:val="1"/>
        </w:numPr>
        <w:spacing w:after="80"/>
      </w:pPr>
      <w:r>
        <w:rPr>
          <w:rFonts w:ascii="Calibri" w:cs="Calibri" w:eastAsia="Calibri" w:hAnsi="Calibri"/>
          <w:sz w:val="22"/>
          <w:szCs w:val="22"/>
        </w:rPr>
        <w:t xml:space="preserve">Slidedeck deel 10.</w:t>
      </w:r>
    </w:p>
    <w:p>
      <w:pPr>
        <w:pStyle w:val="ListParagraph"/>
        <w:numPr>
          <w:ilvl w:val="0"/>
          <w:numId w:val="1"/>
        </w:numPr>
        <w:spacing w:after="80"/>
      </w:pPr>
      <w:r>
        <w:rPr>
          <w:rFonts w:ascii="Calibri" w:cs="Calibri" w:eastAsia="Calibri" w:hAnsi="Calibri"/>
          <w:sz w:val="22"/>
          <w:szCs w:val="22"/>
        </w:rPr>
        <w:t xml:space="preserve">Vooraf verstuurde capstone-opdracht (minstens een week vóór dagdeel B).</w:t>
      </w:r>
    </w:p>
    <w:p>
      <w:pPr>
        <w:pStyle w:val="ListParagraph"/>
        <w:numPr>
          <w:ilvl w:val="0"/>
          <w:numId w:val="1"/>
        </w:numPr>
        <w:spacing w:after="80"/>
      </w:pPr>
      <w:r>
        <w:rPr>
          <w:rFonts w:ascii="Calibri" w:cs="Calibri" w:eastAsia="Calibri" w:hAnsi="Calibri"/>
          <w:sz w:val="22"/>
          <w:szCs w:val="22"/>
        </w:rPr>
        <w:t xml:space="preserve">Rolvoorbereiding voor de verdediging (docent of medecursisten als projectleider/consultant).</w:t>
      </w:r>
    </w:p>
    <w:p>
      <w:pPr>
        <w:pStyle w:val="Heading2"/>
        <w:spacing w:after="120" w:before="200"/>
      </w:pPr>
      <w:r>
        <w:rPr>
          <w:rFonts w:ascii="Georgia" w:cs="Georgia" w:eastAsia="Georgia" w:hAnsi="Georgia"/>
          <w:b/>
          <w:bCs/>
          <w:color w:val="2C5AA0"/>
          <w:sz w:val="28"/>
          <w:szCs w:val="28"/>
        </w:rPr>
        <w:t xml:space="preserve">7. Beoordeling en doorstroom</w:t>
      </w:r>
    </w:p>
    <w:p>
      <w:pPr>
        <w:spacing w:after="140" w:line="300"/>
      </w:pPr>
      <w:r>
        <w:rPr>
          <w:rFonts w:ascii="Calibri" w:cs="Calibri" w:eastAsia="Calibri" w:hAnsi="Calibri"/>
          <w:sz w:val="22"/>
          <w:szCs w:val="22"/>
        </w:rPr>
        <w:t xml:space="preserve">Geen formele beoordeling, maar signaleer per deelnemer of de capstone-verdediging vlot verliep of duidelijk moeizaam — dat is de beste voorspeller voor hoe iemand niveau 2 zal ervaren, waar de stof concreter en technischer wordt.</w:t>
      </w:r>
    </w:p>
    <w:p>
      <w:pPr>
        <w:pStyle w:val="Heading2"/>
        <w:spacing w:after="120" w:before="200"/>
      </w:pPr>
      <w:r>
        <w:rPr>
          <w:rFonts w:ascii="Georgia" w:cs="Georgia" w:eastAsia="Georgia" w:hAnsi="Georgia"/>
          <w:b/>
          <w:bCs/>
          <w:color w:val="2C5AA0"/>
          <w:sz w:val="28"/>
          <w:szCs w:val="28"/>
        </w:rPr>
        <w:t xml:space="preserve">8. Voorbereiding op niveau 2</w:t>
      </w:r>
    </w:p>
    <w:p>
      <w:pPr>
        <w:spacing w:after="140" w:line="300"/>
      </w:pPr>
      <w:r>
        <w:rPr>
          <w:rFonts w:ascii="Calibri" w:cs="Calibri" w:eastAsia="Calibri" w:hAnsi="Calibri"/>
          <w:sz w:val="22"/>
          <w:szCs w:val="22"/>
        </w:rPr>
        <w:t xml:space="preserve">Niveau 2 opent met FS-PM (deel 11), rechtstreeks gebouwd op de v2.0-capstone-stof, nu concreet toegepast op Meridiaan. Geen aanvullende voorbereiding van deelnemers nodig, behalve het meenemen van hun eigen capstone-analyse uit dit deel — die kan in deel 11 als referentiepunt terugkomen.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2026-08-16T20:12:43.064Z</dcterms:created>
  <dcterms:modified xsi:type="dcterms:W3CDTF">2026-08-16T20:12:43.064Z</dcterms:modified>
</cp:coreProperties>
</file>

<file path=docProps/custom.xml><?xml version="1.0" encoding="utf-8"?>
<Properties xmlns="http://schemas.openxmlformats.org/officeDocument/2006/custom-properties" xmlns:vt="http://schemas.openxmlformats.org/officeDocument/2006/docPropsVTypes"/>
</file>