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11 — FS-PM: het polisproces</w:t>
      </w:r>
    </w:p>
    <w:p>
      <w:pPr>
        <w:spacing w:after="300"/>
      </w:pPr>
      <w:r>
        <w:rPr>
          <w:rFonts w:ascii="Calibri" w:cs="Calibri" w:eastAsia="Calibri" w:hAnsi="Calibri"/>
          <w:i/>
          <w:iCs/>
          <w:color w:val="2C5AA0"/>
          <w:sz w:val="22"/>
          <w:szCs w:val="22"/>
        </w:rPr>
        <w:t xml:space="preserve">Docentenhandleiding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opent niveau 2 en introduceert het belangrijkste vocabulaire van de hele cursus: BTX. Alles in niveau 2 en de FS-PM-delen van niveau 3 bouwt hierop voort — investeer hier extra zorgvuldigheid, ook als het programma daardoor iets langzamer loopt dan gepland.</w:t>
      </w:r>
    </w:p>
    <w:p>
      <w:pPr>
        <w:spacing w:after="140" w:line="300"/>
      </w:pPr>
      <w:r>
        <w:rPr>
          <w:rFonts w:ascii="Calibri" w:cs="Calibri" w:eastAsia="Calibri" w:hAnsi="Calibri"/>
          <w:sz w:val="22"/>
          <w:szCs w:val="22"/>
        </w:rPr>
        <w:t xml:space="preserve">Eén zin om te onthouden: in FS-PM is niet alleen de polis vastgelegd, maar ook elke gebeurtenis die haar raakt — als eigen, traceerbaar object.</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Priya's whiteboard-tekening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een BTX is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Zes categorieën (reader §4) + opdracht 11.1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Dialog versus batch (reader §5) + opdracht 11.2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11.3 de fusiecase herzien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11.5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Besteed extra tijd aan Universal Change (§4.1) — dit is conceptueel het minst intuïtieve van de zes categorieën en vergt vaak een tweede voorbeeld naast de indexatie uit de reader. Bij opdracht 11.3, laat de groep expliciet benoemen waaróm dialog waarschijnlijker is dan batch voor de fusiecase — dat "waarom" is de eigenlijke leerwinst.</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"Is BTX een SAP-specifieke term of breder gebruikelijk?" Specifiek voor FS-PM/insurance-achtige SAP-modules; niet een universeel ERP-begrip. Behandel dit als een concept binnen deze cursus (deel 1 §4.3), niet als algemene IT-kennis.</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whiteboard, slidedeck deel 11.</w:t>
      </w:r>
    </w:p>
    <w:p>
      <w:pPr>
        <w:pStyle w:val="Heading2"/>
        <w:spacing w:after="120" w:before="200"/>
      </w:pPr>
      <w:r>
        <w:rPr>
          <w:rFonts w:ascii="Georgia" w:cs="Georgia" w:eastAsia="Georgia" w:hAnsi="Georgia"/>
          <w:b/>
          <w:bCs/>
          <w:color w:val="2C5AA0"/>
          <w:sz w:val="28"/>
          <w:szCs w:val="28"/>
        </w:rPr>
        <w:t xml:space="preserve">6. Voorbereiding op deel 12</w:t>
      </w:r>
    </w:p>
    <w:p>
      <w:pPr>
        <w:spacing w:after="140" w:line="300"/>
      </w:pPr>
      <w:r>
        <w:rPr>
          <w:rFonts w:ascii="Calibri" w:cs="Calibri" w:eastAsia="Calibri" w:hAnsi="Calibri"/>
          <w:sz w:val="22"/>
          <w:szCs w:val="22"/>
        </w:rPr>
        <w:t xml:space="preserve">Deel 12 (configuratie en rolverdeling) bouwt rechtstreeks voort op de BTX-categorieën uit dit deel.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2026-08-16T20:12:44.107Z</dcterms:created>
  <dcterms:modified xsi:type="dcterms:W3CDTF">2026-08-16T20:12:44.107Z</dcterms:modified>
</cp:coreProperties>
</file>

<file path=docProps/custom.xml><?xml version="1.0" encoding="utf-8"?>
<Properties xmlns="http://schemas.openxmlformats.org/officeDocument/2006/custom-properties" xmlns:vt="http://schemas.openxmlformats.org/officeDocument/2006/docPropsVTypes"/>
</file>