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11 — FS-PM: het polisproces</w:t>
      </w:r>
    </w:p>
    <w:p>
      <w:pPr>
        <w:spacing w:after="300"/>
      </w:pPr>
      <w:r>
        <w:rPr>
          <w:rFonts w:ascii="Calibri" w:cs="Calibri" w:eastAsia="Calibri" w:hAnsi="Calibri"/>
          <w:i/>
          <w:iCs/>
          <w:color w:val="2C5AA0"/>
          <w:sz w:val="22"/>
          <w:szCs w:val="22"/>
        </w:rPr>
        <w:t xml:space="preserve">Werkboek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Opdracht 11.1 — Categoriseer de BTX (15 min, individueel)</w:t>
      </w:r>
    </w:p>
    <w:p>
      <w:pPr>
        <w:spacing w:after="140" w:line="300"/>
      </w:pPr>
      <w:r>
        <w:rPr>
          <w:rFonts w:ascii="Calibri" w:cs="Calibri" w:eastAsia="Calibri" w:hAnsi="Calibri"/>
          <w:sz w:val="22"/>
          <w:szCs w:val="22"/>
        </w:rPr>
        <w:t xml:space="preserve">Koppel elke gebeurtenis aan een BTX-categorie.</w:t>
      </w:r>
    </w:p>
    <w:p>
      <w:pPr>
        <w:pStyle w:val="ListParagraph"/>
        <w:numPr>
          <w:ilvl w:val="0"/>
          <w:numId w:val="1"/>
        </w:numPr>
        <w:spacing w:after="80"/>
      </w:pPr>
      <w:r>
        <w:rPr>
          <w:rFonts w:ascii="Calibri" w:cs="Calibri" w:eastAsia="Calibri" w:hAnsi="Calibri"/>
          <w:sz w:val="22"/>
          <w:szCs w:val="22"/>
        </w:rPr>
        <w:t xml:space="preserve">Een nieuwe collectieve regeling wordt afgesloten.</w:t>
      </w:r>
    </w:p>
    <w:p>
      <w:pPr>
        <w:pStyle w:val="ListParagraph"/>
        <w:numPr>
          <w:ilvl w:val="0"/>
          <w:numId w:val="1"/>
        </w:numPr>
        <w:spacing w:after="80"/>
      </w:pPr>
      <w:r>
        <w:rPr>
          <w:rFonts w:ascii="Calibri" w:cs="Calibri" w:eastAsia="Calibri" w:hAnsi="Calibri"/>
          <w:sz w:val="22"/>
          <w:szCs w:val="22"/>
        </w:rPr>
        <w:t xml:space="preserve">Een polishouder verhuist.</w:t>
      </w:r>
    </w:p>
    <w:p>
      <w:pPr>
        <w:pStyle w:val="ListParagraph"/>
        <w:numPr>
          <w:ilvl w:val="0"/>
          <w:numId w:val="1"/>
        </w:numPr>
        <w:spacing w:after="80"/>
      </w:pPr>
      <w:r>
        <w:rPr>
          <w:rFonts w:ascii="Calibri" w:cs="Calibri" w:eastAsia="Calibri" w:hAnsi="Calibri"/>
          <w:sz w:val="22"/>
          <w:szCs w:val="22"/>
        </w:rPr>
        <w:t xml:space="preserve">Een verkeerd ingevoerde adreswijziging wordt hersteld.</w:t>
      </w:r>
    </w:p>
    <w:p>
      <w:pPr>
        <w:pStyle w:val="ListParagraph"/>
        <w:numPr>
          <w:ilvl w:val="0"/>
          <w:numId w:val="1"/>
        </w:numPr>
        <w:spacing w:after="80"/>
      </w:pPr>
      <w:r>
        <w:rPr>
          <w:rFonts w:ascii="Calibri" w:cs="Calibri" w:eastAsia="Calibri" w:hAnsi="Calibri"/>
          <w:sz w:val="22"/>
          <w:szCs w:val="22"/>
        </w:rPr>
        <w:t xml:space="preserve">Alle polissen van productvariant X krijgen een jaarlijkse indexatie.</w:t>
      </w:r>
    </w:p>
    <w:p>
      <w:pPr>
        <w:spacing w:after="140" w:line="300"/>
      </w:pPr>
      <w:r>
        <w:rPr>
          <w:rFonts w:ascii="Calibri" w:cs="Calibri" w:eastAsia="Calibri" w:hAnsi="Calibri"/>
          <w:sz w:val="22"/>
          <w:szCs w:val="22"/>
        </w:rPr>
        <w:t xml:space="preserve">e. Een werkgever stopt met de regeling.</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New Business. b. Change. c. Reversal. d. Universal Change. e. Termination.</w:t>
            </w:r>
          </w:p>
        </w:tc>
      </w:tr>
    </w:tbl>
    <w:p>
      <w:pPr>
        <w:pStyle w:val="Heading2"/>
        <w:spacing w:after="120" w:before="200"/>
      </w:pPr>
      <w:r>
        <w:rPr>
          <w:rFonts w:ascii="Georgia" w:cs="Georgia" w:eastAsia="Georgia" w:hAnsi="Georgia"/>
          <w:b/>
          <w:bCs/>
          <w:color w:val="2C5AA0"/>
          <w:sz w:val="28"/>
          <w:szCs w:val="28"/>
        </w:rPr>
        <w:t xml:space="preserve">Opdracht 11.2 — Dialog of batch? (10 min, individueel)</w:t>
      </w:r>
    </w:p>
    <w:p>
      <w:pPr>
        <w:pStyle w:val="ListParagraph"/>
        <w:numPr>
          <w:ilvl w:val="0"/>
          <w:numId w:val="1"/>
        </w:numPr>
        <w:spacing w:after="80"/>
      </w:pPr>
      <w:r>
        <w:rPr>
          <w:rFonts w:ascii="Calibri" w:cs="Calibri" w:eastAsia="Calibri" w:hAnsi="Calibri"/>
          <w:sz w:val="22"/>
          <w:szCs w:val="22"/>
        </w:rPr>
        <w:t xml:space="preserve">Een medewerker verwerkt direct een adreswijziging die een werkgever telefonisch doorgeeft.</w:t>
      </w:r>
    </w:p>
    <w:p>
      <w:pPr>
        <w:pStyle w:val="ListParagraph"/>
        <w:numPr>
          <w:ilvl w:val="0"/>
          <w:numId w:val="1"/>
        </w:numPr>
        <w:spacing w:after="80"/>
      </w:pPr>
      <w:r>
        <w:rPr>
          <w:rFonts w:ascii="Calibri" w:cs="Calibri" w:eastAsia="Calibri" w:hAnsi="Calibri"/>
          <w:sz w:val="22"/>
          <w:szCs w:val="22"/>
        </w:rPr>
        <w:t xml:space="preserve">Een jaarlijkse premie-indexatie wordt 's nachts voor alle polissen tegelijk uitgevoerd.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Dialog. b. Batch.</w:t>
            </w:r>
          </w:p>
        </w:tc>
      </w:tr>
    </w:tbl>
    <w:p>
      <w:pPr>
        <w:pStyle w:val="Heading2"/>
        <w:spacing w:after="120" w:before="200"/>
      </w:pPr>
      <w:r>
        <w:rPr>
          <w:rFonts w:ascii="Georgia" w:cs="Georgia" w:eastAsia="Georgia" w:hAnsi="Georgia"/>
          <w:b/>
          <w:bCs/>
          <w:color w:val="2C5AA0"/>
          <w:sz w:val="28"/>
          <w:szCs w:val="28"/>
        </w:rPr>
        <w:t xml:space="preserve">Opdracht 11.3 — De fusiecase herzien (20 min, groepjes van drie)</w:t>
      </w:r>
    </w:p>
    <w:p>
      <w:pPr>
        <w:spacing w:after="140" w:line="300"/>
      </w:pPr>
      <w:r>
        <w:rPr>
          <w:rFonts w:ascii="Calibri" w:cs="Calibri" w:eastAsia="Calibri" w:hAnsi="Calibri"/>
          <w:sz w:val="22"/>
          <w:szCs w:val="22"/>
        </w:rPr>
        <w:t xml:space="preserve">Herlees de fusie/overname-capstone uit niveau 1 deel 10. Beschrijf met BTX-vocabulaire welke categorie(ën) hier waarschijnlijk aan de orde zijn, en of dit dialog of batch zou moeten zijn.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Waarschijnlijk Change (eigenaarschap wijzigt per polis) en mogelijk Universal Change als meerdere polissen tegelijk moeten worden overgedragen. Gezien de zorgvuldigheid die dit vergt (stamgegevenskwestie, zie deel 4) is dialog waarschijnlijker dan batch voor de eerste uitvoering — een BA zou willen dat een mens meekijkt bij zo'n gevoelige overdracht, in tegenstelling tot een routinematige jaarlijkse indexatie.</w:t>
            </w:r>
          </w:p>
        </w:tc>
      </w:tr>
    </w:tbl>
    <w:p>
      <w:pPr>
        <w:pStyle w:val="Heading2"/>
        <w:spacing w:after="120" w:before="200"/>
      </w:pPr>
      <w:r>
        <w:rPr>
          <w:rFonts w:ascii="Georgia" w:cs="Georgia" w:eastAsia="Georgia" w:hAnsi="Georgia"/>
          <w:b/>
          <w:bCs/>
          <w:color w:val="2C5AA0"/>
          <w:sz w:val="28"/>
          <w:szCs w:val="28"/>
        </w:rPr>
        <w:t xml:space="preserve">Opdracht 11.4 — Waarom een aparte BTX-registratie? (15 min, individueel)</w:t>
      </w:r>
    </w:p>
    <w:p>
      <w:pPr>
        <w:spacing w:after="140" w:line="300"/>
      </w:pPr>
      <w:r>
        <w:rPr>
          <w:rFonts w:ascii="Calibri" w:cs="Calibri" w:eastAsia="Calibri" w:hAnsi="Calibri"/>
          <w:sz w:val="22"/>
          <w:szCs w:val="22"/>
        </w:rPr>
        <w:t xml:space="preserve">Leg uit waarom het voor auditeerbaarheid (↗ deel 29) een voordeel is dat FS-PM elke gebeurtenis als eigen BTX vastlegt, in plaats van alleen de eindtoestand van de polis te bewaren zoals Panorama deed.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Als alleen de eindtoestand wordt bewaard, is niet meer te reconstrueren wélke gebeurtenissen tot die toestand hebben geleid, wanneer, en door wie. Met elke BTX als eigen object kan achteraf worden getoond: op welk moment welke wijziging is doorgevoerd, in welke categorie, en — indien nodig — teruggedraaid via een Reversal. Dit is precies wat een toezichthouder of auditor (deel 29) zou willen zien.</w:t>
            </w:r>
          </w:p>
        </w:tc>
      </w:tr>
    </w:tbl>
    <w:p>
      <w:pPr>
        <w:pStyle w:val="Heading2"/>
        <w:spacing w:after="120" w:before="200"/>
      </w:pPr>
      <w:r>
        <w:rPr>
          <w:rFonts w:ascii="Georgia" w:cs="Georgia" w:eastAsia="Georgia" w:hAnsi="Georgia"/>
          <w:b/>
          <w:bCs/>
          <w:color w:val="2C5AA0"/>
          <w:sz w:val="28"/>
          <w:szCs w:val="28"/>
        </w:rPr>
        <w:t xml:space="preserve">Opdracht 11.5 — Je eigen BTX-voorbeeld (10 min, individueel, huiswerk)</w:t>
      </w:r>
    </w:p>
    <w:p>
      <w:pPr>
        <w:spacing w:after="140" w:line="300"/>
      </w:pPr>
      <w:r>
        <w:rPr>
          <w:rFonts w:ascii="Calibri" w:cs="Calibri" w:eastAsia="Calibri" w:hAnsi="Calibri"/>
          <w:sz w:val="22"/>
          <w:szCs w:val="22"/>
        </w:rPr>
        <w:t xml:space="preserve">Bedenk een polisgebeurtenis uit je eigen kennis van verzekeringen (kan buiten Meridiaan) en categoriseer hem.</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een BTX? A. Een foutmelding. B. Een expliciet vastgelegde gebeurtenis rond een polis. C. Een type tabel. D. Een rapportagetool. 2. Welke categorie hoort bij een nieuwe polis? A. Change. B. New Business. C. Renewal. D. Reversal. 3. Welke categorie raakt meerdere polissen tegelijk? A. Termination. B. Universal Change. C. Change. D. New Business. 4. Wat is het verschil tussen dialog en batch? A. Geen verschil. B. Dialog is direct/interactief, batch is gepland/bulk. C. Batch is altijd sneller. D. Dialog bestaat niet in FS-PM. 5. Waarom is Universal Change relevant voor een BA? A. Het maakt bulkwijzigingen traceerbaar als één gebeurtenis. B. Het is de enige categorie die telt. C. Het vervangt New Business. D. Het is irrelevant. 6. Wat gebeurt er bij een Reversal? A. Een nieuwe polis wordt aangemaakt. B. Een eerdere BTX wordt teruggedraaid. C. Een polis wordt verlengd. D. Niets, dit is een foutieve term. 7. Wat bepaalt of een BTX synchroon of asynchroon-achtig gedrag vertoont? A. De productvariant. B. Of hij dialog of batch is. C. De naam van de polis. D. Het domein van het veld. 8. Waarom was Panorama's aanpak anders dan FS-PM's BTX-aanpak? A. Panorama bewaarde vaak alleen de eindtoestand, zonder elke gebeurtenis apart vast te leggen. B. Panorama gebruikte ook BTX's. C. Er is geen verschil. D. FS-PM bewaart geen geschiedenis. 9. Welke categorie hoort bij het einde van een polis? A. Renewal. B. Termination. C. Change. D. New Business. 10. Wat is de eerste vraag die je jezelf stelt bij een nieuwe BTX, volgens dit deel? A. Hoeveel kost dit? B. Wanneer en hoe wordt hij getriggerd — dialog of batch? C. Wie heeft dit gebouwd? D. Is dit een fit of een gap?</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5A 6B 7B 8A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2026-08-16T20:12:44.094Z</dcterms:created>
  <dcterms:modified xsi:type="dcterms:W3CDTF">2026-08-16T20:12:44.094Z</dcterms:modified>
</cp:coreProperties>
</file>

<file path=docProps/custom.xml><?xml version="1.0" encoding="utf-8"?>
<Properties xmlns="http://schemas.openxmlformats.org/officeDocument/2006/custom-properties" xmlns:vt="http://schemas.openxmlformats.org/officeDocument/2006/docPropsVTypes"/>
</file>