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12 — FS-PM: configuratie en rolverdeling</w:t>
      </w:r>
    </w:p>
    <w:p>
      <w:pPr>
        <w:spacing w:after="300"/>
      </w:pPr>
      <w:r>
        <w:rPr>
          <w:rFonts w:ascii="Calibri" w:cs="Calibri" w:eastAsia="Calibri" w:hAnsi="Calibri"/>
          <w:i/>
          <w:iCs/>
          <w:color w:val="2C5AA0"/>
          <w:sz w:val="22"/>
          <w:szCs w:val="22"/>
        </w:rPr>
        <w:t xml:space="preserve">Docentenhandleiding · Niveau 2 Professional · Cursus SAP voor Business Analysts · Ductus</w:t>
      </w:r>
    </w:p>
    <w:p>
      <w:pPr>
        <w:pStyle w:val="Heading2"/>
        <w:spacing w:after="120" w:before="200"/>
      </w:pPr>
      <w:r>
        <w:rPr>
          <w:rFonts w:ascii="Georgia" w:cs="Georgia" w:eastAsia="Georgia" w:hAnsi="Georgia"/>
          <w:b/>
          <w:bCs/>
          <w:color w:val="2C5AA0"/>
          <w:sz w:val="28"/>
          <w:szCs w:val="28"/>
        </w:rPr>
        <w:t xml:space="preserve">1. Bedoeling van dit deel</w:t>
      </w:r>
    </w:p>
    <w:p>
      <w:pPr>
        <w:spacing w:after="140" w:line="300"/>
      </w:pPr>
      <w:r>
        <w:rPr>
          <w:rFonts w:ascii="Calibri" w:cs="Calibri" w:eastAsia="Calibri" w:hAnsi="Calibri"/>
          <w:sz w:val="22"/>
          <w:szCs w:val="22"/>
        </w:rPr>
        <w:t xml:space="preserve">Vier nieuwe termen in één dagdeel is veel — bewaak dat deelnemers niet vast blijven hangen in het onthouden van de namen zelf. Het patroon (definitie/tarief/regel/verwerking) is de eigenlijke leerwinst; de namen zijn een praktisch vocabulaire om dat patroon in gesprekken te kunnen gebruiken.</w:t>
      </w:r>
    </w:p>
    <w:p>
      <w:pPr>
        <w:spacing w:after="140" w:line="300"/>
      </w:pPr>
      <w:r>
        <w:rPr>
          <w:rFonts w:ascii="Calibri" w:cs="Calibri" w:eastAsia="Calibri" w:hAnsi="Calibri"/>
          <w:sz w:val="22"/>
          <w:szCs w:val="22"/>
        </w:rPr>
        <w:t xml:space="preserve">Eén zin om te onthouden: een wens hoort meestal bij precies één van de vier spelers thuis, zelden bij alle vier tegelijk.</w:t>
      </w:r>
    </w:p>
    <w:p>
      <w:pPr>
        <w:pStyle w:val="Heading2"/>
        <w:spacing w:after="120" w:before="200"/>
      </w:pPr>
      <w:r>
        <w:rPr>
          <w:rFonts w:ascii="Georgia" w:cs="Georgia" w:eastAsia="Georgia" w:hAnsi="Georgia"/>
          <w:b/>
          <w:bCs/>
          <w:color w:val="2C5AA0"/>
          <w:sz w:val="28"/>
          <w:szCs w:val="28"/>
        </w:rPr>
        <w:t xml:space="preserve">2. Programma dagdeel (3 uur, twee pauzes)</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Vier namen op het bord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verhalend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 vier spelers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12.1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1:10–1:20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1:20–1:45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Schuifbalk toepassen (reader §4) + opdracht 12.2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12.3 de kortingsregel herzien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groepjes +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Toegepast op een nieuwe wens (reader §5) + opdracht 12.4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college + individueel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 vooruitblik deel 13 (FS-CM)</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plenair</w:t>
            </w:r>
          </w:p>
        </w:tc>
      </w:tr>
    </w:tbl>
    <w:p>
      <w:pPr>
        <w:spacing w:after="140" w:line="300"/>
      </w:pPr>
      <w:r>
        <w:rPr>
          <w:rFonts w:ascii="Calibri" w:cs="Calibri" w:eastAsia="Calibri" w:hAnsi="Calibri"/>
          <w:sz w:val="22"/>
          <w:szCs w:val="22"/>
        </w:rPr>
        <w:t xml:space="preserve">Opdracht 12.5 huiswerk.</w:t>
      </w:r>
    </w:p>
    <w:p>
      <w:pPr>
        <w:pStyle w:val="Heading2"/>
        <w:spacing w:after="120" w:before="200"/>
      </w:pPr>
      <w:r>
        <w:rPr>
          <w:rFonts w:ascii="Georgia" w:cs="Georgia" w:eastAsia="Georgia" w:hAnsi="Georgia"/>
          <w:b/>
          <w:bCs/>
          <w:color w:val="2C5AA0"/>
          <w:sz w:val="28"/>
          <w:szCs w:val="28"/>
        </w:rPr>
        <w:t xml:space="preserve">3. Aandachtspunten</w:t>
      </w:r>
    </w:p>
    <w:p>
      <w:pPr>
        <w:spacing w:after="140" w:line="300"/>
      </w:pPr>
      <w:r>
        <w:rPr>
          <w:rFonts w:ascii="Calibri" w:cs="Calibri" w:eastAsia="Calibri" w:hAnsi="Calibri"/>
          <w:sz w:val="22"/>
          <w:szCs w:val="22"/>
        </w:rPr>
        <w:t xml:space="preserve">Gebruik consequent hetzelfde visuele lagenmodel (figuur 12-2) door het hele dagdeel — herhaling van dezelfde vier vakjes helpt de namen te laten beklijven zonder dat ze apart gememoriseerd hoeven te worden. Bij opdracht 12.3, laat de groep expliciet de link leggen naar deel 6 §4.2 (waarom custom code "vergeten" raakt) — dat is de brug die dit deel slaat tussen niveau 1 en niveau 2.</w:t>
      </w:r>
    </w:p>
    <w:p>
      <w:pPr>
        <w:pStyle w:val="Heading2"/>
        <w:spacing w:after="120" w:before="200"/>
      </w:pPr>
      <w:r>
        <w:rPr>
          <w:rFonts w:ascii="Georgia" w:cs="Georgia" w:eastAsia="Georgia" w:hAnsi="Georgia"/>
          <w:b/>
          <w:bCs/>
          <w:color w:val="2C5AA0"/>
          <w:sz w:val="28"/>
          <w:szCs w:val="28"/>
        </w:rPr>
        <w:t xml:space="preserve">4. Veelgestelde vragen</w:t>
      </w:r>
    </w:p>
    <w:p>
      <w:pPr>
        <w:spacing w:after="140" w:line="300"/>
      </w:pPr>
      <w:r>
        <w:rPr>
          <w:rFonts w:ascii="Calibri" w:cs="Calibri" w:eastAsia="Calibri" w:hAnsi="Calibri"/>
          <w:sz w:val="22"/>
          <w:szCs w:val="22"/>
        </w:rPr>
        <w:t xml:space="preserve">"Moet ik deze vier namen op een examen kunnen reproduceren?" Geen extern examen (zie OPZET §1); wel relevant voor de bekwaamheidstoets van deel 22.</w:t>
      </w:r>
    </w:p>
    <w:p>
      <w:pPr>
        <w:pStyle w:val="Heading2"/>
        <w:spacing w:after="120" w:before="200"/>
      </w:pPr>
      <w:r>
        <w:rPr>
          <w:rFonts w:ascii="Georgia" w:cs="Georgia" w:eastAsia="Georgia" w:hAnsi="Georgia"/>
          <w:b/>
          <w:bCs/>
          <w:color w:val="2C5AA0"/>
          <w:sz w:val="28"/>
          <w:szCs w:val="28"/>
        </w:rPr>
        <w:t xml:space="preserve">5. Benodigdheden</w:t>
      </w:r>
    </w:p>
    <w:p>
      <w:pPr>
        <w:spacing w:after="140" w:line="300"/>
      </w:pPr>
      <w:r>
        <w:rPr>
          <w:rFonts w:ascii="Calibri" w:cs="Calibri" w:eastAsia="Calibri" w:hAnsi="Calibri"/>
          <w:sz w:val="22"/>
          <w:szCs w:val="22"/>
        </w:rPr>
        <w:t xml:space="preserve">Casusdossier-aanvulling SAP, whiteboard, slidedeck deel 12.</w:t>
      </w:r>
    </w:p>
    <w:p>
      <w:pPr>
        <w:pStyle w:val="Heading2"/>
        <w:spacing w:after="120" w:before="200"/>
      </w:pPr>
      <w:r>
        <w:rPr>
          <w:rFonts w:ascii="Georgia" w:cs="Georgia" w:eastAsia="Georgia" w:hAnsi="Georgia"/>
          <w:b/>
          <w:bCs/>
          <w:color w:val="2C5AA0"/>
          <w:sz w:val="28"/>
          <w:szCs w:val="28"/>
        </w:rPr>
        <w:t xml:space="preserve">6. Voorbereiding op deel 13</w:t>
      </w:r>
    </w:p>
    <w:p>
      <w:pPr>
        <w:spacing w:after="140" w:line="300"/>
      </w:pPr>
      <w:r>
        <w:rPr>
          <w:rFonts w:ascii="Calibri" w:cs="Calibri" w:eastAsia="Calibri" w:hAnsi="Calibri"/>
          <w:sz w:val="22"/>
          <w:szCs w:val="22"/>
        </w:rPr>
        <w:t xml:space="preserve">Deel 13 (FS-CM: het schadeproces I) introduceert een symmetrische, nieuwe structuur — geen directe voortbouwing op dit deel nodig, maar de vergelijking tussen FS-PM- en FS-CM-configuratie komt in deel 21 (ketenintegratie) terug.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2 Professional · Deel 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2026-08-16T20:12:44.743Z</dcterms:created>
  <dcterms:modified xsi:type="dcterms:W3CDTF">2026-08-16T20:12:44.743Z</dcterms:modified>
</cp:coreProperties>
</file>

<file path=docProps/custom.xml><?xml version="1.0" encoding="utf-8"?>
<Properties xmlns="http://schemas.openxmlformats.org/officeDocument/2006/custom-properties" xmlns:vt="http://schemas.openxmlformats.org/officeDocument/2006/docPropsVTypes"/>
</file>