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12 — FS-PM: configuratie en rolverdeling</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12.1 — Welke speler? (15 min, individueel)</w:t>
      </w:r>
    </w:p>
    <w:p>
      <w:pPr>
        <w:pStyle w:val="ListParagraph"/>
        <w:numPr>
          <w:ilvl w:val="0"/>
          <w:numId w:val="1"/>
        </w:numPr>
        <w:spacing w:after="80"/>
      </w:pPr>
      <w:r>
        <w:rPr>
          <w:rFonts w:ascii="Calibri" w:cs="Calibri" w:eastAsia="Calibri" w:hAnsi="Calibri"/>
          <w:sz w:val="22"/>
          <w:szCs w:val="22"/>
        </w:rPr>
        <w:t xml:space="preserve">Een nieuwe productvariant met eigen dekkingsregels wordt gedefinieerd.</w:t>
      </w:r>
    </w:p>
    <w:p>
      <w:pPr>
        <w:pStyle w:val="ListParagraph"/>
        <w:numPr>
          <w:ilvl w:val="0"/>
          <w:numId w:val="1"/>
        </w:numPr>
        <w:spacing w:after="80"/>
      </w:pPr>
      <w:r>
        <w:rPr>
          <w:rFonts w:ascii="Calibri" w:cs="Calibri" w:eastAsia="Calibri" w:hAnsi="Calibri"/>
          <w:sz w:val="22"/>
          <w:szCs w:val="22"/>
        </w:rPr>
        <w:t xml:space="preserve">Een premie wordt berekend op basis van leeftijd en verzekerd bedrag.</w:t>
      </w:r>
    </w:p>
    <w:p>
      <w:pPr>
        <w:pStyle w:val="ListParagraph"/>
        <w:numPr>
          <w:ilvl w:val="0"/>
          <w:numId w:val="1"/>
        </w:numPr>
        <w:spacing w:after="80"/>
      </w:pPr>
      <w:r>
        <w:rPr>
          <w:rFonts w:ascii="Calibri" w:cs="Calibri" w:eastAsia="Calibri" w:hAnsi="Calibri"/>
          <w:sz w:val="22"/>
          <w:szCs w:val="22"/>
        </w:rPr>
        <w:t xml:space="preserve">Een regel bepaalt dat bij twee gelijktijdige mutaties de meest recente wint.</w:t>
      </w:r>
    </w:p>
    <w:p>
      <w:pPr>
        <w:pStyle w:val="ListParagraph"/>
        <w:numPr>
          <w:ilvl w:val="0"/>
          <w:numId w:val="1"/>
        </w:numPr>
        <w:spacing w:after="80"/>
      </w:pPr>
      <w:r>
        <w:rPr>
          <w:rFonts w:ascii="Calibri" w:cs="Calibri" w:eastAsia="Calibri" w:hAnsi="Calibri"/>
          <w:sz w:val="22"/>
          <w:szCs w:val="22"/>
        </w:rPr>
        <w:t xml:space="preserve">De volgorde van validatiestappen bij een nieuwe polisaanvraag wordt vastgelegd.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Product Engine. b. TMF. c. BRFplus. d. BTS.</w:t>
            </w:r>
          </w:p>
        </w:tc>
      </w:tr>
    </w:tbl>
    <w:p>
      <w:pPr>
        <w:pStyle w:val="Heading2"/>
        <w:spacing w:after="120" w:before="200"/>
      </w:pPr>
      <w:r>
        <w:rPr>
          <w:rFonts w:ascii="Georgia" w:cs="Georgia" w:eastAsia="Georgia" w:hAnsi="Georgia"/>
          <w:b/>
          <w:bCs/>
          <w:color w:val="2C5AA0"/>
          <w:sz w:val="28"/>
          <w:szCs w:val="28"/>
        </w:rPr>
        <w:t xml:space="preserve">Opdracht 12.2 — Schuifbalk toepassen (10 min, individueel)</w:t>
      </w:r>
    </w:p>
    <w:p>
      <w:pPr>
        <w:spacing w:after="140" w:line="300"/>
      </w:pPr>
      <w:r>
        <w:rPr>
          <w:rFonts w:ascii="Calibri" w:cs="Calibri" w:eastAsia="Calibri" w:hAnsi="Calibri"/>
          <w:sz w:val="22"/>
          <w:szCs w:val="22"/>
        </w:rPr>
        <w:t xml:space="preserve">Van de vier spelers: welke ligt gemiddeld het dichtst bij pure customizing, en welke het dichtst bij development?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BRFplus meestal het dichtst bij customizing; BTS-aanpassingen vaker richting development (reader §4).</w:t>
            </w:r>
          </w:p>
        </w:tc>
      </w:tr>
    </w:tbl>
    <w:p>
      <w:pPr>
        <w:pStyle w:val="Heading2"/>
        <w:spacing w:after="120" w:before="200"/>
      </w:pPr>
      <w:r>
        <w:rPr>
          <w:rFonts w:ascii="Georgia" w:cs="Georgia" w:eastAsia="Georgia" w:hAnsi="Georgia"/>
          <w:b/>
          <w:bCs/>
          <w:color w:val="2C5AA0"/>
          <w:sz w:val="28"/>
          <w:szCs w:val="28"/>
        </w:rPr>
        <w:t xml:space="preserve">Opdracht 12.3 — De historische kortingsregel herzien (20 min, groepjes van drie)</w:t>
      </w:r>
    </w:p>
    <w:p>
      <w:pPr>
        <w:spacing w:after="140" w:line="300"/>
      </w:pPr>
      <w:r>
        <w:rPr>
          <w:rFonts w:ascii="Calibri" w:cs="Calibri" w:eastAsia="Calibri" w:hAnsi="Calibri"/>
          <w:sz w:val="22"/>
          <w:szCs w:val="22"/>
        </w:rPr>
        <w:t xml:space="preserve">Herlees deel 5 (niveau 1), de historische kortingsregel in custom code. Beargumenteer waarom BRFplus waarschijnlijk een betere plek was geweest, en wat daarmee gewonnen was.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BRFplus maakt een regel zichtbaar en direct aanpasbaar voor wie toegang heeft tot de configuratie, zonder een ontwikkelaar erbij te hoeven halen — en daarmee minder snel "vergeten" (↗ deel 6 §4.2). Was de regel in BRFplus vastgelegd, dan had iemand haar waarschijnlijk eerder gezien en bevraagd, zoals de reader in §4 beargumenteert.</w:t>
            </w:r>
          </w:p>
        </w:tc>
      </w:tr>
    </w:tbl>
    <w:p>
      <w:pPr>
        <w:pStyle w:val="Heading2"/>
        <w:spacing w:after="120" w:before="200"/>
      </w:pPr>
      <w:r>
        <w:rPr>
          <w:rFonts w:ascii="Georgia" w:cs="Georgia" w:eastAsia="Georgia" w:hAnsi="Georgia"/>
          <w:b/>
          <w:bCs/>
          <w:color w:val="2C5AA0"/>
          <w:sz w:val="28"/>
          <w:szCs w:val="28"/>
        </w:rPr>
        <w:t xml:space="preserve">Opdracht 12.4 — Marijkes nieuwe wens (15 min, individueel)</w:t>
      </w:r>
    </w:p>
    <w:p>
      <w:pPr>
        <w:spacing w:after="140" w:line="300"/>
      </w:pPr>
      <w:r>
        <w:rPr>
          <w:rFonts w:ascii="Calibri" w:cs="Calibri" w:eastAsia="Calibri" w:hAnsi="Calibri"/>
          <w:sz w:val="22"/>
          <w:szCs w:val="22"/>
        </w:rPr>
        <w:t xml:space="preserve">Formuleer, zoals in reader §5, de gerichte vraag die Sanne aan Priya zou stellen over Marijkes nieuwe premiekorting-wens.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Bijvoorbeeld: *"Is dit een nieuwe tariefregel die in TMF thuishoort, een aparte bedrijfsregel voor BRFplus, of allebei — en als het allebei is, welke van de twee is dan leidend?"*</w:t>
            </w:r>
          </w:p>
        </w:tc>
      </w:tr>
    </w:tbl>
    <w:p>
      <w:pPr>
        <w:pStyle w:val="Heading2"/>
        <w:spacing w:after="120" w:before="200"/>
      </w:pPr>
      <w:r>
        <w:rPr>
          <w:rFonts w:ascii="Georgia" w:cs="Georgia" w:eastAsia="Georgia" w:hAnsi="Georgia"/>
          <w:b/>
          <w:bCs/>
          <w:color w:val="2C5AA0"/>
          <w:sz w:val="28"/>
          <w:szCs w:val="28"/>
        </w:rPr>
        <w:t xml:space="preserve">Opdracht 12.5 — Je eigen indeling (10 min, individueel, huiswerk)</w:t>
      </w:r>
    </w:p>
    <w:p>
      <w:pPr>
        <w:spacing w:after="140" w:line="300"/>
      </w:pPr>
      <w:r>
        <w:rPr>
          <w:rFonts w:ascii="Calibri" w:cs="Calibri" w:eastAsia="Calibri" w:hAnsi="Calibri"/>
          <w:sz w:val="22"/>
          <w:szCs w:val="22"/>
        </w:rPr>
        <w:t xml:space="preserve">Bedenk een fictieve FS-PM-wens en wijs haar toe aan één van de vier spelers, met argumentatie.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definieert de Product Engine? A. Tarieven. B. Productvarianten en hun kenmerken. C. Bedrijfsregels. D. BTX-verwerkingsstappen. 2. Wat doet TMF? A. Het definieert nieuwe producten. B. Het koppelt productdefinities aan tarieven en stamgegevens. C. Het stuurt verwerking aan. D. Het is een testtool. 3. Wat is BRFplus? A. Een testframework. B. Een generiek regelmotor-mechanisme voor bedrijfsregels. C. Een rapportagetool. D. Een type tabel. 4. Wat doet BTS? A. Het definieert tarieven. B. Het stuurt de verwerking van een BTX aan. C. Het beheert stamgegevens. D. Het is een foutmelding. 5. Welke speler ligt doorgaans het dichtst bij pure customizing? A. BTS. B. BRFplus. C. Product Engine altijd. D. Geen van vieren. 6. Waarom hoorde de historische kortingsregel waarschijnlijk in BRFplus thuis? A. Omdat BRFplus sneller is. B. Omdat het een bedrijfsregel is die zichtbaarder en aanpasbaarder was geweest dan in custom code. C. Omdat custom code niet bestaat in FS-PM. D. Er is geen verband. 7. Wat is het patroon achter de vier spelers, volgens de kernzin in reader §3.4? A. Ze zijn allemaal hetzelfde. B. Definitie, tarief, regel, verwerking zijn vier aparte lagen. C. Ze vervangen elkaar. D. Alleen BTS is relevant voor een BA. 8. Hoeveel van de vier spelers is een wens meestal toe te wijzen? A. Alle vier tegelijk. B. Meestal precies één. C. Nooit één. D. Willekeurig. 9. Wat is de eerste vraag die een BA stelt bij een nieuwe FS-PM-wens, volgens dit deel? A. Wat kost dit? B. In welke van de vier spelers hoort dit thuis? C. Wie heeft dit bedacht? D. Is dit een BTX? 10. Wat is het verband tussen dit deel en deel 6 (niveau 1)? A. Geen verband. B. De schuifbalk customizing/development wordt hier toegepast op vier specifieke componenten. C. Dit deel vervangt deel 6 volledig. D. BRFplus is hetzelfde als een BAdI.</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2026-08-16T20:12:44.729Z</dcterms:created>
  <dcterms:modified xsi:type="dcterms:W3CDTF">2026-08-16T20:12:44.729Z</dcterms:modified>
</cp:coreProperties>
</file>

<file path=docProps/custom.xml><?xml version="1.0" encoding="utf-8"?>
<Properties xmlns="http://schemas.openxmlformats.org/officeDocument/2006/custom-properties" xmlns:vt="http://schemas.openxmlformats.org/officeDocument/2006/docPropsVTypes"/>
</file>