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Georgia" w:cs="Georgia" w:eastAsia="Georgia" w:hAnsi="Georgia"/>
          <w:b/>
          <w:bCs/>
          <w:color w:val="1B2A4A"/>
          <w:sz w:val="44"/>
          <w:szCs w:val="44"/>
        </w:rPr>
        <w:t xml:space="preserve">Deel 14 — FS-CM: het schadeproces II</w:t>
      </w:r>
    </w:p>
    <w:p>
      <w:pPr>
        <w:spacing w:after="300"/>
      </w:pPr>
      <w:r>
        <w:rPr>
          <w:rFonts w:ascii="Calibri" w:cs="Calibri" w:eastAsia="Calibri" w:hAnsi="Calibri"/>
          <w:i/>
          <w:iCs/>
          <w:color w:val="2C5AA0"/>
          <w:sz w:val="22"/>
          <w:szCs w:val="22"/>
        </w:rPr>
        <w:t xml:space="preserve">Docentenhandleiding · Niveau 2 Professional · Cursus SAP voor Business Analysts · Ductus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1. Bedoeling van dit deel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Dit deel voltooit het FS-CM-procesoverzicht en is het punt waarop geld daadwerkelijk beweegt. Leg de nadruk op de doorlopende aard van fraude-signalering (een laag, geen losse stap) — dit wordt in de praktijk vaak verkeerd begrepen als een aparte processtap.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Eén zin om te onthouden: een BA signaleert fraudepatronen, maar beoordeelt zelf geen individuele claims.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2. Programma dagdeel (3 uur, twee pauzes)</w:t>
      </w:r>
    </w:p>
    <w:tbl>
      <w:tblPr>
        <w:tblW w:type="pct" w:w="100%"/>
        <w:tblBorders>
          <w:top w:val="single" w:color="CCCCCC" w:sz="2"/>
          <w:left w:val="single" w:color="CCCCCC" w:sz="2"/>
          <w:bottom w:val="single" w:color="CCCCCC" w:sz="2"/>
          <w:right w:val="single" w:color="CCCCCC" w:sz="2"/>
          <w:insideH w:val="single" w:color="CCCCCC" w:sz="2"/>
          <w:insideV w:val="single" w:color="CCCCCC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Tijd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Onderdeel</w:t>
            </w:r>
          </w:p>
        </w:tc>
        <w:tc>
          <w:tcPr>
            <w:shd w:fill="1B2A4A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Vorm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0:00–0:15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Van claim naar uitkering (reader §1)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verhalend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0:15–0:40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Uitkering: FS-CD en Accounting (reader §3) + opdracht 14.1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0:40–1:00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Regres (reader §4) + opdracht 14.2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individueel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1:00–1:10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1:10–1:40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Fraude-signalering op BA-niveau (reader §5) + opdracht 14.3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college + tweetallen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1:40–2:10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 verplaatst, doorlopen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2:10–2:20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pauze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2:20–2:55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Opdracht 14.4 het volledige proces tekenen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groepjes + plenair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2:55–3:00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Afsluiting, vooruitblik deel 15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plenair</w:t>
            </w:r>
          </w:p>
        </w:tc>
      </w:tr>
    </w:tbl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Opdracht 14.5 huiswerk.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3. Aandachtspunten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Bij opdracht 14.3, reken op de neiging van deelnemers om toch een oordeelscriterium te formuleren ("claims binnen dertig dagen zijn fraude") in plaats van een signaleringseis. Corrigeer dit expliciet — het onderscheid tussen signaleren en beoordelen is de kern van dit onderdeel.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4. Veelgestelde vragen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"Hoe streng moet een fraudesignaal zijn — te veel signalen is ook een probleem?" Relevant maar buiten scope van dit deel om technisch te beantwoorden; wel goed om te benoemen dat een BA hierin een organisatieafweging heeft (te veel valse signalen belast de beoordelaars, te weinig mist echte gevallen) — een afweging die net als bij het testexitcriterium (↗ testcursus) geen puur technische keuze is.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5. Benodigdheden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Casusdossier-aanvulling SAP, whiteboard, slidedeck deel 14.</w:t>
      </w:r>
    </w:p>
    <w:p>
      <w:pPr>
        <w:pStyle w:val="Heading2"/>
        <w:spacing w:after="120" w:before="200"/>
      </w:pPr>
      <w:r>
        <w:rPr>
          <w:rFonts w:ascii="Georgia" w:cs="Georgia" w:eastAsia="Georgia" w:hAnsi="Georgia"/>
          <w:b/>
          <w:bCs/>
          <w:color w:val="2C5AA0"/>
          <w:sz w:val="28"/>
          <w:szCs w:val="28"/>
        </w:rPr>
        <w:t xml:space="preserve">6. Voorbereiding op deel 15</w:t>
      </w:r>
    </w:p>
    <w:p>
      <w:pPr>
        <w:spacing w:after="140" w:line="300"/>
      </w:pPr>
      <w:r>
        <w:rPr>
          <w:rFonts w:ascii="Calibri" w:cs="Calibri" w:eastAsia="Calibri" w:hAnsi="Calibri"/>
          <w:sz w:val="22"/>
          <w:szCs w:val="22"/>
        </w:rPr>
        <w:t xml:space="preserve">Deel 15 (De financiële schaduw) bouwt rechtstreeks voort op FS-CD, hier al geïntroduceerd bij uitkering.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Pagina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van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C5AA0" w:sz="6" w:space="4"/>
      </w:pBdr>
      <w:jc w:val="right"/>
    </w:pPr>
    <w:r>
      <w:rPr>
        <w:rFonts w:ascii="Calibri" w:cs="Calibri" w:eastAsia="Calibri" w:hAnsi="Calibri"/>
        <w:color w:val="2C5AA0"/>
        <w:sz w:val="16"/>
        <w:szCs w:val="16"/>
      </w:rPr>
      <w:t xml:space="preserve">SAP voor Business Analysts · Niveau 2 Professional · Deel 14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2026-08-16T20:12:46.799Z</dcterms:created>
  <dcterms:modified xsi:type="dcterms:W3CDTF">2026-08-16T20:12:46.799Z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