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14 — FS-CM: het schadeproces II</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14.1 — De route van een uitkering (10 min, individueel)</w:t>
      </w:r>
    </w:p>
    <w:p>
      <w:pPr>
        <w:spacing w:after="140" w:line="300"/>
      </w:pPr>
      <w:r>
        <w:rPr>
          <w:rFonts w:ascii="Calibri" w:cs="Calibri" w:eastAsia="Calibri" w:hAnsi="Calibri"/>
          <w:sz w:val="22"/>
          <w:szCs w:val="22"/>
        </w:rPr>
        <w:t xml:space="preserve">Zet in de juiste volgorde: Accounting, claim goedgekeurd, FS-CD, uitkering ontvangen door polishouder.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Claim goedgekeurd → FS-CD → uitkering ontvangen door polishouder → (boeking in) Accounting. (De boeking in Accounting kan technisch parallel of net na de daadwerkelijke uitbetaling lopen; de kern is dat FS-CD tussen goedkeuring en uitbetaling zit.)</w:t>
            </w:r>
          </w:p>
        </w:tc>
      </w:tr>
    </w:tbl>
    <w:p>
      <w:pPr>
        <w:pStyle w:val="Heading2"/>
        <w:spacing w:after="120" w:before="200"/>
      </w:pPr>
      <w:r>
        <w:rPr>
          <w:rFonts w:ascii="Georgia" w:cs="Georgia" w:eastAsia="Georgia" w:hAnsi="Georgia"/>
          <w:b/>
          <w:bCs/>
          <w:color w:val="2C5AA0"/>
          <w:sz w:val="28"/>
          <w:szCs w:val="28"/>
        </w:rPr>
        <w:t xml:space="preserve">Opdracht 14.2 — Regres of geen regres? (10 min, individueel)</w:t>
      </w:r>
    </w:p>
    <w:p>
      <w:pPr>
        <w:pStyle w:val="ListParagraph"/>
        <w:numPr>
          <w:ilvl w:val="0"/>
          <w:numId w:val="1"/>
        </w:numPr>
        <w:spacing w:after="80"/>
      </w:pPr>
      <w:r>
        <w:rPr>
          <w:rFonts w:ascii="Calibri" w:cs="Calibri" w:eastAsia="Calibri" w:hAnsi="Calibri"/>
          <w:sz w:val="22"/>
          <w:szCs w:val="22"/>
        </w:rPr>
        <w:t xml:space="preserve">Een polishouder krijgt schade uitgekeerd na een aanrijding waarbij de andere partij verantwoordelijk was.</w:t>
      </w:r>
    </w:p>
    <w:p>
      <w:pPr>
        <w:pStyle w:val="ListParagraph"/>
        <w:numPr>
          <w:ilvl w:val="0"/>
          <w:numId w:val="1"/>
        </w:numPr>
        <w:spacing w:after="80"/>
      </w:pPr>
      <w:r>
        <w:rPr>
          <w:rFonts w:ascii="Calibri" w:cs="Calibri" w:eastAsia="Calibri" w:hAnsi="Calibri"/>
          <w:sz w:val="22"/>
          <w:szCs w:val="22"/>
        </w:rPr>
        <w:t xml:space="preserve">Een polishouder krijgt schade uitgekeerd na eigen onvoorzichtigheid zonder derde partij.</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Regres mogelijk — een aansprakelijke derde partij is aan te wijzen. b. Geen regres — geen derde om op te verhalen.</w:t>
            </w:r>
          </w:p>
        </w:tc>
      </w:tr>
    </w:tbl>
    <w:p>
      <w:pPr>
        <w:pStyle w:val="Heading2"/>
        <w:spacing w:after="120" w:before="200"/>
      </w:pPr>
      <w:r>
        <w:rPr>
          <w:rFonts w:ascii="Georgia" w:cs="Georgia" w:eastAsia="Georgia" w:hAnsi="Georgia"/>
          <w:b/>
          <w:bCs/>
          <w:color w:val="2C5AA0"/>
          <w:sz w:val="28"/>
          <w:szCs w:val="28"/>
        </w:rPr>
        <w:t xml:space="preserve">Opdracht 14.3 — Signaleren, niet beoordelen (15 min, tweetallen)</w:t>
      </w:r>
    </w:p>
    <w:p>
      <w:pPr>
        <w:spacing w:after="140" w:line="300"/>
      </w:pPr>
      <w:r>
        <w:rPr>
          <w:rFonts w:ascii="Calibri" w:cs="Calibri" w:eastAsia="Calibri" w:hAnsi="Calibri"/>
          <w:sz w:val="22"/>
          <w:szCs w:val="22"/>
        </w:rPr>
        <w:t xml:space="preserve">Formuleer een functionele eis (geen technische oplossing) voor het signaleren van claims die kort na de start van een dekking worden ingediend — zonder zelf te bepalen wanneer zoiets frauduleus 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*"Markeer claims die binnen dertig dagen na de ingangsdatum van de dekking worden ingediend, voor extra beoordeling door een specialist — het systeem beslist niet zelf of dit fraude is, het signaleert alleen."* Dit respecteert de grens uit reader §5.2: de BA formuleert het signaal, niet het oordeel.</w:t>
            </w:r>
          </w:p>
        </w:tc>
      </w:tr>
    </w:tbl>
    <w:p>
      <w:pPr>
        <w:pStyle w:val="Heading2"/>
        <w:spacing w:after="120" w:before="200"/>
      </w:pPr>
      <w:r>
        <w:rPr>
          <w:rFonts w:ascii="Georgia" w:cs="Georgia" w:eastAsia="Georgia" w:hAnsi="Georgia"/>
          <w:b/>
          <w:bCs/>
          <w:color w:val="2C5AA0"/>
          <w:sz w:val="28"/>
          <w:szCs w:val="28"/>
        </w:rPr>
        <w:t xml:space="preserve">Opdracht 14.4 — Het volledige proces tekenen (20 min, groepjes van drie)</w:t>
      </w:r>
    </w:p>
    <w:p>
      <w:pPr>
        <w:spacing w:after="140" w:line="300"/>
      </w:pPr>
      <w:r>
        <w:rPr>
          <w:rFonts w:ascii="Calibri" w:cs="Calibri" w:eastAsia="Calibri" w:hAnsi="Calibri"/>
          <w:sz w:val="22"/>
          <w:szCs w:val="22"/>
        </w:rPr>
        <w:t xml:space="preserve">Teken (op papier of whiteboard) het volledige FS-CM-proces van melding tot uitkering, inclusief waar fraude-signalering als laag over het proces heen ligt.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Vergelijk met figuur 14-3. Let erop dat groepen fraude-signalering niet als losse, aparte stap tekenen maar als doorlopende laag — dat is het punt van reader §5.2 en figuur 14-3.</w:t>
            </w:r>
          </w:p>
        </w:tc>
      </w:tr>
    </w:tbl>
    <w:p>
      <w:pPr>
        <w:pStyle w:val="Heading2"/>
        <w:spacing w:after="120" w:before="200"/>
      </w:pPr>
      <w:r>
        <w:rPr>
          <w:rFonts w:ascii="Georgia" w:cs="Georgia" w:eastAsia="Georgia" w:hAnsi="Georgia"/>
          <w:b/>
          <w:bCs/>
          <w:color w:val="2C5AA0"/>
          <w:sz w:val="28"/>
          <w:szCs w:val="28"/>
        </w:rPr>
        <w:t xml:space="preserve">Opdracht 14.5 — Je eigen regres-of-fraude-voorbeeld (10 min, individueel, huiswerk)</w:t>
      </w:r>
    </w:p>
    <w:p>
      <w:pPr>
        <w:spacing w:after="140" w:line="300"/>
      </w:pPr>
      <w:r>
        <w:rPr>
          <w:rFonts w:ascii="Calibri" w:cs="Calibri" w:eastAsia="Calibri" w:hAnsi="Calibri"/>
          <w:sz w:val="22"/>
          <w:szCs w:val="22"/>
        </w:rPr>
        <w:t xml:space="preserve">Bedenk een fictief voorbeeld uit de verzekeringspraktijk van regres, en een apart voorbeeld van een fraudesignaal (geen fraudeoordeel).</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Via welke module loopt een uitkering? A. FS-PM. B. FS-CD. C. BRFplus. D. TMF. 2. Wat is regres? A. Het opnieuw beoordelen van een polis. B. Het terugvorderen van een uitkering bij een aansprakelijke derde. C. Een type BTX. D. Een foutmelding. 3. Waarom wordt een polishouder niet opgehouden totdat regres is afgerond? A. Dat gebeurt wel. B. Regres is een apart, vaak later proces, los van de uitkering aan de polishouder. C. Regres bestaat niet. D. Regres gaat altijd vooraf aan uitkering. 4. Wat doet een BA bij fraude-signalering? A. Zelf beoordelen of een claim frauduleus is. B. Functionele signaleringseisen formuleren, niet het oordeel zelf vellen. C. Niets, dit is geen BA-taak. D. De fraudeanalist vervangen. 5. Wat is het verband tussen FS-CD bij premie-incasso en bij uitkering? A. Geen verband, twee aparte systemen. B. Hetzelfde mechanisme, twee richtingen: geld in en geld uit. C. FS-CD verwerkt alleen premie. D. FS-CD verwerkt alleen uitkeringen. 6. Wat is een goed voorbeeld van een fraudesignaal-eis? A. "Bepaal of deze claim fraude is." B. "Markeer claims kort na dekkingsstart voor extra beoordeling." C. "Keur alle claims automatisch goed." D. "Verwijder verdachte claims automatisch." 7. Wat volgt na de eerste beoordeling en dekkingsbeoordeling uit deel 13? A. Alleen registratie. B. Uitkering, eventueel gevolgd door regres, met fraude-signalering als doorlopende laag. C. Niets, het proces stopt daar. D. Een nieuwe BTX. 8. Waar landt een uitkering uiteindelijk boekhoudkundig? A. Nergens, uitkeringen worden niet geboekt. B. In Accounting (FI), via FS-CD. C. Alleen in FS-PM. D. In BRFplus. 9. Waarom is dit deel het fundament voor deel 20? A. Geen verband. B. Het volledige procesoverzicht (melding tot uitkering) is de basis voor de end-to-end Claims-to-Payment-analyse. C. Deel 20 gaat alleen over FS-PM. D. Deel 20 herhaalt alleen de examenstof. 10. Wat onderscheidt fraude-signalering van andere bedrijfsregels in deze cursus? A. Niets, het volgt hetzelfde patroon: BA stelt de organisatievraag, specialisten de uitvoeringsvraag. B. Fraude-signalering is volledig technisch, geen BA-rol. C. Fraude-signalering bestaat niet in FS-CM. D. Fraude-signalering vervangt dekkingsbeoordeling.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2026-08-16T20:12:46.781Z</dcterms:created>
  <dcterms:modified xsi:type="dcterms:W3CDTF">2026-08-16T20:12:46.781Z</dcterms:modified>
</cp:coreProperties>
</file>

<file path=docProps/custom.xml><?xml version="1.0" encoding="utf-8"?>
<Properties xmlns="http://schemas.openxmlformats.org/officeDocument/2006/custom-properties" xmlns:vt="http://schemas.openxmlformats.org/officeDocument/2006/docPropsVTypes"/>
</file>