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Georgia" w:cs="Georgia" w:eastAsia="Georgia" w:hAnsi="Georgia"/>
          <w:b/>
          <w:bCs/>
          <w:color w:val="1B2A4A"/>
          <w:sz w:val="44"/>
          <w:szCs w:val="44"/>
        </w:rPr>
        <w:t xml:space="preserve">Deel 16 — Documenten &amp; documentflow</w:t>
      </w:r>
    </w:p>
    <w:p>
      <w:pPr>
        <w:spacing w:after="300"/>
      </w:pPr>
      <w:r>
        <w:rPr>
          <w:rFonts w:ascii="Calibri" w:cs="Calibri" w:eastAsia="Calibri" w:hAnsi="Calibri"/>
          <w:i/>
          <w:iCs/>
          <w:color w:val="2C5AA0"/>
          <w:sz w:val="22"/>
          <w:szCs w:val="22"/>
        </w:rPr>
        <w:t xml:space="preserve">Werkboek · Niveau 2 Professional · Cursus SAP voor Business Analysts · Ductus</w:t>
      </w:r>
    </w:p>
    <w:p>
      <w:pPr>
        <w:pStyle w:val="Heading2"/>
        <w:spacing w:after="120" w:before="200"/>
      </w:pPr>
      <w:r>
        <w:rPr>
          <w:rFonts w:ascii="Georgia" w:cs="Georgia" w:eastAsia="Georgia" w:hAnsi="Georgia"/>
          <w:b/>
          <w:bCs/>
          <w:color w:val="2C5AA0"/>
          <w:sz w:val="28"/>
          <w:szCs w:val="28"/>
        </w:rPr>
        <w:t xml:space="preserve">Opdracht 16.1 — Documentflow herkennen (10 min, individueel)</w:t>
      </w:r>
    </w:p>
    <w:p>
      <w:pPr>
        <w:spacing w:after="140" w:line="300"/>
      </w:pPr>
      <w:r>
        <w:rPr>
          <w:rFonts w:ascii="Calibri" w:cs="Calibri" w:eastAsia="Calibri" w:hAnsi="Calibri"/>
          <w:sz w:val="22"/>
          <w:szCs w:val="22"/>
        </w:rPr>
        <w:t xml:space="preserve">Welke twee documenten zouden aan elkaar gekoppeld moeten zijn via documentflow?</w:t>
      </w:r>
    </w:p>
    <w:p>
      <w:pPr>
        <w:pStyle w:val="ListParagraph"/>
        <w:numPr>
          <w:ilvl w:val="0"/>
          <w:numId w:val="1"/>
        </w:numPr>
        <w:spacing w:after="80"/>
      </w:pPr>
      <w:r>
        <w:rPr>
          <w:rFonts w:ascii="Calibri" w:cs="Calibri" w:eastAsia="Calibri" w:hAnsi="Calibri"/>
          <w:sz w:val="22"/>
          <w:szCs w:val="22"/>
        </w:rPr>
        <w:t xml:space="preserve">Een claim en de polis waarop hij betrekking heeft.</w:t>
      </w:r>
    </w:p>
    <w:p>
      <w:pPr>
        <w:pStyle w:val="ListParagraph"/>
        <w:numPr>
          <w:ilvl w:val="0"/>
          <w:numId w:val="1"/>
        </w:numPr>
        <w:spacing w:after="80"/>
      </w:pPr>
      <w:r>
        <w:rPr>
          <w:rFonts w:ascii="Calibri" w:cs="Calibri" w:eastAsia="Calibri" w:hAnsi="Calibri"/>
          <w:sz w:val="22"/>
          <w:szCs w:val="22"/>
        </w:rPr>
        <w:t xml:space="preserve">Twee volledig ongerelateerde polissen van verschillende werkgevers.</w:t>
      </w:r>
    </w:p>
    <w:tbl>
      <w:tblPr>
        <w:tblW w:type="pct" w:w="100%"/>
        <w:tblBorders>
          <w:top w:val="single" w:color="D99A3D" w:sz="4"/>
          <w:left w:val="single" w:color="D99A3D" w:sz="4"/>
          <w:bottom w:val="single" w:color="D99A3D" w:sz="4"/>
          <w:right w:val="single" w:color="D99A3D" w:sz="4"/>
          <w:insideH w:val="single" w:color="auto" w:sz="4"/>
          <w:insideV w:val="single" w:color="auto" w:sz="4"/>
        </w:tblBorders>
      </w:tblPr>
      <w:tblGrid>
        <w:gridCol w:w="100"/>
      </w:tblGrid>
      <w:tr>
        <w:tc>
          <w:tcPr>
            <w:shd w:fill="1B2A4A" w:color="auto" w:val="clear"/>
            <w:tcMar>
              <w:top w:type="dxa" w:w="40"/>
              <w:left w:type="dxa" w:w="220"/>
              <w:bottom w:type="dxa" w:w="0"/>
              <w:right w:type="dxa" w:w="220"/>
            </w:tcMar>
          </w:tcPr>
          <w:p>
            <w:pPr>
              <w:spacing w:after="100"/>
            </w:pPr>
            <w:r>
              <w:rPr>
                <w:rFonts w:ascii="Georgia" w:cs="Georgia" w:eastAsia="Georgia" w:hAnsi="Georgia"/>
                <w:b/>
                <w:bCs/>
                <w:color w:val="FFFFFF"/>
                <w:sz w:val="22"/>
                <w:szCs w:val="22"/>
              </w:rPr>
              <w:t xml:space="preserve">UITWERKING</w:t>
            </w:r>
          </w:p>
        </w:tc>
      </w:tr>
      <w:tr>
        <w:tc>
          <w:tcPr>
            <w:shd w:fill="FBF3E7" w:color="auto" w:val="clear"/>
            <w:tcMar>
              <w:top w:type="dxa" w:w="160"/>
              <w:left w:type="dxa" w:w="220"/>
              <w:bottom w:type="dxa" w:w="160"/>
              <w:right w:type="dxa" w:w="220"/>
            </w:tcMar>
          </w:tcPr>
          <w:p>
            <w:pPr>
              <w:spacing w:after="100" w:line="280"/>
            </w:pPr>
            <w:r>
              <w:rPr>
                <w:rFonts w:ascii="Calibri" w:cs="Calibri" w:eastAsia="Calibri" w:hAnsi="Calibri"/>
                <w:sz w:val="22"/>
                <w:szCs w:val="22"/>
              </w:rPr>
              <w:t xml:space="preserve">a. Ja, gekoppeld. b. Nee, geen koppeling nodig — geen inhoudelijke relatie.</w:t>
            </w:r>
          </w:p>
        </w:tc>
      </w:tr>
    </w:tbl>
    <w:p>
      <w:pPr>
        <w:pStyle w:val="Heading2"/>
        <w:spacing w:after="120" w:before="200"/>
      </w:pPr>
      <w:r>
        <w:rPr>
          <w:rFonts w:ascii="Georgia" w:cs="Georgia" w:eastAsia="Georgia" w:hAnsi="Georgia"/>
          <w:b/>
          <w:bCs/>
          <w:color w:val="2C5AA0"/>
          <w:sz w:val="28"/>
          <w:szCs w:val="28"/>
        </w:rPr>
        <w:t xml:space="preserve">Opdracht 16.2 — Toegestane overgang? (10 min, individueel)</w:t>
      </w:r>
    </w:p>
    <w:p>
      <w:pPr>
        <w:spacing w:after="140" w:line="300"/>
      </w:pPr>
      <w:r>
        <w:rPr>
          <w:rFonts w:ascii="Calibri" w:cs="Calibri" w:eastAsia="Calibri" w:hAnsi="Calibri"/>
          <w:sz w:val="22"/>
          <w:szCs w:val="22"/>
        </w:rPr>
        <w:t xml:space="preserve">Een claim probeert van status "ingediend" direct naar "uitgekeerd" te springen, zonder "goedgekeurd" te passeren. Is dit waarschijnlijk toegestaan volgens een goed statusmodel?</w:t>
      </w:r>
    </w:p>
    <w:tbl>
      <w:tblPr>
        <w:tblW w:type="pct" w:w="100%"/>
        <w:tblBorders>
          <w:top w:val="single" w:color="D99A3D" w:sz="4"/>
          <w:left w:val="single" w:color="D99A3D" w:sz="4"/>
          <w:bottom w:val="single" w:color="D99A3D" w:sz="4"/>
          <w:right w:val="single" w:color="D99A3D" w:sz="4"/>
          <w:insideH w:val="single" w:color="auto" w:sz="4"/>
          <w:insideV w:val="single" w:color="auto" w:sz="4"/>
        </w:tblBorders>
      </w:tblPr>
      <w:tblGrid>
        <w:gridCol w:w="100"/>
      </w:tblGrid>
      <w:tr>
        <w:tc>
          <w:tcPr>
            <w:shd w:fill="1B2A4A" w:color="auto" w:val="clear"/>
            <w:tcMar>
              <w:top w:type="dxa" w:w="40"/>
              <w:left w:type="dxa" w:w="220"/>
              <w:bottom w:type="dxa" w:w="0"/>
              <w:right w:type="dxa" w:w="220"/>
            </w:tcMar>
          </w:tcPr>
          <w:p>
            <w:pPr>
              <w:spacing w:after="100"/>
            </w:pPr>
            <w:r>
              <w:rPr>
                <w:rFonts w:ascii="Georgia" w:cs="Georgia" w:eastAsia="Georgia" w:hAnsi="Georgia"/>
                <w:b/>
                <w:bCs/>
                <w:color w:val="FFFFFF"/>
                <w:sz w:val="22"/>
                <w:szCs w:val="22"/>
              </w:rPr>
              <w:t xml:space="preserve">UITWERKING</w:t>
            </w:r>
          </w:p>
        </w:tc>
      </w:tr>
      <w:tr>
        <w:tc>
          <w:tcPr>
            <w:shd w:fill="FBF3E7" w:color="auto" w:val="clear"/>
            <w:tcMar>
              <w:top w:type="dxa" w:w="160"/>
              <w:left w:type="dxa" w:w="220"/>
              <w:bottom w:type="dxa" w:w="160"/>
              <w:right w:type="dxa" w:w="220"/>
            </w:tcMar>
          </w:tcPr>
          <w:p>
            <w:pPr>
              <w:spacing w:after="100" w:line="280"/>
            </w:pPr>
            <w:r>
              <w:rPr>
                <w:rFonts w:ascii="Calibri" w:cs="Calibri" w:eastAsia="Calibri" w:hAnsi="Calibri"/>
                <w:sz w:val="22"/>
                <w:szCs w:val="22"/>
              </w:rPr>
              <w:t xml:space="preserve">Nee — een goed statusmodel staat deze overgang niet toe (reader §4.1); een claim moet eerst goedgekeurd worden vóór uitkering. Dit type controle voorkomt precies het soort incident waarbij iets "stilletjes" doorschiet zonder de juiste tussenstap.</w:t>
            </w:r>
          </w:p>
        </w:tc>
      </w:tr>
    </w:tbl>
    <w:p>
      <w:pPr>
        <w:pStyle w:val="Heading2"/>
        <w:spacing w:after="120" w:before="200"/>
      </w:pPr>
      <w:r>
        <w:rPr>
          <w:rFonts w:ascii="Georgia" w:cs="Georgia" w:eastAsia="Georgia" w:hAnsi="Georgia"/>
          <w:b/>
          <w:bCs/>
          <w:color w:val="2C5AA0"/>
          <w:sz w:val="28"/>
          <w:szCs w:val="28"/>
        </w:rPr>
        <w:t xml:space="preserve">Opdracht 16.3 — De polishouder aan de telefoon (15 min, tweetallen)</w:t>
      </w:r>
    </w:p>
    <w:p>
      <w:pPr>
        <w:spacing w:after="140" w:line="300"/>
      </w:pPr>
      <w:r>
        <w:rPr>
          <w:rFonts w:ascii="Calibri" w:cs="Calibri" w:eastAsia="Calibri" w:hAnsi="Calibri"/>
          <w:sz w:val="22"/>
          <w:szCs w:val="22"/>
        </w:rPr>
        <w:t xml:space="preserve">Herlees reader §1. Beschrijf hoe documentflow de medewerker in staat stelt de vraag van de polishouder te beantwoorden, met het patroon uit reader §5, kernzin.</w:t>
      </w:r>
    </w:p>
    <w:tbl>
      <w:tblPr>
        <w:tblW w:type="pct" w:w="100%"/>
        <w:tblBorders>
          <w:top w:val="single" w:color="D99A3D" w:sz="4"/>
          <w:left w:val="single" w:color="D99A3D" w:sz="4"/>
          <w:bottom w:val="single" w:color="D99A3D" w:sz="4"/>
          <w:right w:val="single" w:color="D99A3D" w:sz="4"/>
          <w:insideH w:val="single" w:color="auto" w:sz="4"/>
          <w:insideV w:val="single" w:color="auto" w:sz="4"/>
        </w:tblBorders>
      </w:tblPr>
      <w:tblGrid>
        <w:gridCol w:w="100"/>
      </w:tblGrid>
      <w:tr>
        <w:tc>
          <w:tcPr>
            <w:shd w:fill="1B2A4A" w:color="auto" w:val="clear"/>
            <w:tcMar>
              <w:top w:type="dxa" w:w="40"/>
              <w:left w:type="dxa" w:w="220"/>
              <w:bottom w:type="dxa" w:w="0"/>
              <w:right w:type="dxa" w:w="220"/>
            </w:tcMar>
          </w:tcPr>
          <w:p>
            <w:pPr>
              <w:spacing w:after="100"/>
            </w:pPr>
            <w:r>
              <w:rPr>
                <w:rFonts w:ascii="Georgia" w:cs="Georgia" w:eastAsia="Georgia" w:hAnsi="Georgia"/>
                <w:b/>
                <w:bCs/>
                <w:color w:val="FFFFFF"/>
                <w:sz w:val="22"/>
                <w:szCs w:val="22"/>
              </w:rPr>
              <w:t xml:space="preserve">UITWERKING</w:t>
            </w:r>
          </w:p>
        </w:tc>
      </w:tr>
      <w:tr>
        <w:tc>
          <w:tcPr>
            <w:shd w:fill="FBF3E7" w:color="auto" w:val="clear"/>
            <w:tcMar>
              <w:top w:type="dxa" w:w="160"/>
              <w:left w:type="dxa" w:w="220"/>
              <w:bottom w:type="dxa" w:w="160"/>
              <w:right w:type="dxa" w:w="220"/>
            </w:tcMar>
          </w:tcPr>
          <w:p>
            <w:pPr>
              <w:spacing w:after="100" w:line="280"/>
            </w:pPr>
            <w:r>
              <w:rPr>
                <w:rFonts w:ascii="Calibri" w:cs="Calibri" w:eastAsia="Calibri" w:hAnsi="Calibri"/>
                <w:sz w:val="22"/>
                <w:szCs w:val="22"/>
              </w:rPr>
              <w:t xml:space="preserve">In plaats van los in tabellen te zoeken naar losse velden (↗ deel 3), volgt de medewerker de documentflow-keten vanaf de polis: welke BTX's zijn eraan gekoppeld, in welke volgorde, met welke status. Dat maakt het mogelijk in één overzicht te zien wat er met de adreswijziging én de dekkingsuitbreiding is gebeurd, zonder aparte zoekacties.</w:t>
            </w:r>
          </w:p>
        </w:tc>
      </w:tr>
    </w:tbl>
    <w:p>
      <w:pPr>
        <w:pStyle w:val="Heading2"/>
        <w:spacing w:after="120" w:before="200"/>
      </w:pPr>
      <w:r>
        <w:rPr>
          <w:rFonts w:ascii="Georgia" w:cs="Georgia" w:eastAsia="Georgia" w:hAnsi="Georgia"/>
          <w:b/>
          <w:bCs/>
          <w:color w:val="2C5AA0"/>
          <w:sz w:val="28"/>
          <w:szCs w:val="28"/>
        </w:rPr>
        <w:t xml:space="preserve">Opdracht 16.4 — Ontbrekende koppeling of navigatieprobleem? (15 min, individueel)</w:t>
      </w:r>
    </w:p>
    <w:p>
      <w:pPr>
        <w:spacing w:after="140" w:line="300"/>
      </w:pPr>
      <w:r>
        <w:rPr>
          <w:rFonts w:ascii="Calibri" w:cs="Calibri" w:eastAsia="Calibri" w:hAnsi="Calibri"/>
          <w:sz w:val="22"/>
          <w:szCs w:val="22"/>
        </w:rPr>
        <w:t xml:space="preserve">Een medewerker meldt: "ik kan niet zien wat er met deze aanvraag is gebeurd." Bedenk één vraag die onderscheidt of dit een datamodel-probleem of een navigatie-/trainingsprobleem is.</w:t>
      </w:r>
    </w:p>
    <w:tbl>
      <w:tblPr>
        <w:tblW w:type="pct" w:w="100%"/>
        <w:tblBorders>
          <w:top w:val="single" w:color="D99A3D" w:sz="4"/>
          <w:left w:val="single" w:color="D99A3D" w:sz="4"/>
          <w:bottom w:val="single" w:color="D99A3D" w:sz="4"/>
          <w:right w:val="single" w:color="D99A3D" w:sz="4"/>
          <w:insideH w:val="single" w:color="auto" w:sz="4"/>
          <w:insideV w:val="single" w:color="auto" w:sz="4"/>
        </w:tblBorders>
      </w:tblPr>
      <w:tblGrid>
        <w:gridCol w:w="100"/>
      </w:tblGrid>
      <w:tr>
        <w:tc>
          <w:tcPr>
            <w:shd w:fill="1B2A4A" w:color="auto" w:val="clear"/>
            <w:tcMar>
              <w:top w:type="dxa" w:w="40"/>
              <w:left w:type="dxa" w:w="220"/>
              <w:bottom w:type="dxa" w:w="0"/>
              <w:right w:type="dxa" w:w="220"/>
            </w:tcMar>
          </w:tcPr>
          <w:p>
            <w:pPr>
              <w:spacing w:after="100"/>
            </w:pPr>
            <w:r>
              <w:rPr>
                <w:rFonts w:ascii="Georgia" w:cs="Georgia" w:eastAsia="Georgia" w:hAnsi="Georgia"/>
                <w:b/>
                <w:bCs/>
                <w:color w:val="FFFFFF"/>
                <w:sz w:val="22"/>
                <w:szCs w:val="22"/>
              </w:rPr>
              <w:t xml:space="preserve">UITWERKING</w:t>
            </w:r>
          </w:p>
        </w:tc>
      </w:tr>
      <w:tr>
        <w:tc>
          <w:tcPr>
            <w:shd w:fill="FBF3E7" w:color="auto" w:val="clear"/>
            <w:tcMar>
              <w:top w:type="dxa" w:w="160"/>
              <w:left w:type="dxa" w:w="220"/>
              <w:bottom w:type="dxa" w:w="160"/>
              <w:right w:type="dxa" w:w="220"/>
            </w:tcMar>
          </w:tcPr>
          <w:p>
            <w:pPr>
              <w:spacing w:after="100" w:line="280"/>
            </w:pPr>
            <w:r>
              <w:rPr>
                <w:rFonts w:ascii="Calibri" w:cs="Calibri" w:eastAsia="Calibri" w:hAnsi="Calibri"/>
                <w:sz w:val="22"/>
                <w:szCs w:val="22"/>
              </w:rPr>
              <w:t xml:space="preserve">Bijvoorbeeld: *"Als je de polis opent, zie je daar een lijst met gekoppelde documenten? Zo ja, staat deze aanvraag daar niet tussen (datamodel-probleem), of weet je niet waar je moet kijken om die lijst te vinden (navigatieprobleem)?"*</w:t>
            </w:r>
          </w:p>
        </w:tc>
      </w:tr>
    </w:tbl>
    <w:p>
      <w:pPr>
        <w:pStyle w:val="Heading2"/>
        <w:spacing w:after="120" w:before="200"/>
      </w:pPr>
      <w:r>
        <w:rPr>
          <w:rFonts w:ascii="Georgia" w:cs="Georgia" w:eastAsia="Georgia" w:hAnsi="Georgia"/>
          <w:b/>
          <w:bCs/>
          <w:color w:val="2C5AA0"/>
          <w:sz w:val="28"/>
          <w:szCs w:val="28"/>
        </w:rPr>
        <w:t xml:space="preserve">Opdracht 16.5 — Je eigen documentflow-voorbeeld (10 min, individueel, huiswerk)</w:t>
      </w:r>
    </w:p>
    <w:p>
      <w:pPr>
        <w:spacing w:after="140" w:line="300"/>
      </w:pPr>
      <w:r>
        <w:rPr>
          <w:rFonts w:ascii="Calibri" w:cs="Calibri" w:eastAsia="Calibri" w:hAnsi="Calibri"/>
          <w:sz w:val="22"/>
          <w:szCs w:val="22"/>
        </w:rPr>
        <w:t xml:space="preserve">Bedenk een voorbeeld uit je eigen werk (kan buiten SAP) waarin het ontbreken van een expliciete koppeling tussen gerelateerde documenten tot verwarring leidde.</w:t>
      </w:r>
    </w:p>
    <w:tbl>
      <w:tblPr>
        <w:tblW w:type="pct" w:w="100%"/>
        <w:tblBorders>
          <w:top w:val="single" w:color="D99A3D" w:sz="4"/>
          <w:left w:val="single" w:color="D99A3D" w:sz="4"/>
          <w:bottom w:val="single" w:color="D99A3D" w:sz="4"/>
          <w:right w:val="single" w:color="D99A3D" w:sz="4"/>
          <w:insideH w:val="single" w:color="auto" w:sz="4"/>
          <w:insideV w:val="single" w:color="auto" w:sz="4"/>
        </w:tblBorders>
      </w:tblPr>
      <w:tblGrid>
        <w:gridCol w:w="100"/>
      </w:tblGrid>
      <w:tr>
        <w:tc>
          <w:tcPr>
            <w:shd w:fill="1B2A4A" w:color="auto" w:val="clear"/>
            <w:tcMar>
              <w:top w:type="dxa" w:w="40"/>
              <w:left w:type="dxa" w:w="220"/>
              <w:bottom w:type="dxa" w:w="0"/>
              <w:right w:type="dxa" w:w="220"/>
            </w:tcMar>
          </w:tcPr>
          <w:p>
            <w:pPr>
              <w:spacing w:after="100"/>
            </w:pPr>
            <w:r>
              <w:rPr>
                <w:rFonts w:ascii="Georgia" w:cs="Georgia" w:eastAsia="Georgia" w:hAnsi="Georgia"/>
                <w:b/>
                <w:bCs/>
                <w:color w:val="FFFFFF"/>
                <w:sz w:val="22"/>
                <w:szCs w:val="22"/>
              </w:rPr>
              <w:t xml:space="preserve">UITWERKING</w:t>
            </w:r>
          </w:p>
        </w:tc>
      </w:tr>
      <w:tr>
        <w:tc>
          <w:tcPr>
            <w:shd w:fill="FBF3E7" w:color="auto" w:val="clear"/>
            <w:tcMar>
              <w:top w:type="dxa" w:w="160"/>
              <w:left w:type="dxa" w:w="220"/>
              <w:bottom w:type="dxa" w:w="160"/>
              <w:right w:type="dxa" w:w="220"/>
            </w:tcMar>
          </w:tcPr>
          <w:p>
            <w:pPr>
              <w:spacing w:after="100" w:line="280"/>
            </w:pPr>
            <w:r>
              <w:rPr>
                <w:rFonts w:ascii="Calibri" w:cs="Calibri" w:eastAsia="Calibri" w:hAnsi="Calibri"/>
                <w:sz w:val="22"/>
                <w:szCs w:val="22"/>
              </w:rPr>
              <w:t xml:space="preserve">(Uitwerking — begeleidingsnotitie)</w:t>
            </w:r>
          </w:p>
          <w:p>
            <w:pPr>
              <w:spacing w:after="100" w:line="280"/>
            </w:pPr>
            <w:r>
              <w:rPr>
                <w:rFonts w:ascii="Calibri" w:cs="Calibri" w:eastAsia="Calibri" w:hAnsi="Calibri"/>
                <w:sz w:val="22"/>
                <w:szCs w:val="22"/>
              </w:rPr>
              <w:t xml:space="preserve">Geen vast antwoord; bespreek kort in de volgende sessie.</w:t>
            </w:r>
          </w:p>
        </w:tc>
      </w:tr>
    </w:tbl>
    <w:p>
      <w:pPr>
        <w:pStyle w:val="Heading2"/>
        <w:spacing w:after="120" w:before="200"/>
      </w:pPr>
      <w:r>
        <w:rPr>
          <w:rFonts w:ascii="Georgia" w:cs="Georgia" w:eastAsia="Georgia" w:hAnsi="Georgia"/>
          <w:b/>
          <w:bCs/>
          <w:color w:val="2C5AA0"/>
          <w:sz w:val="28"/>
          <w:szCs w:val="28"/>
        </w:rPr>
        <w:t xml:space="preserve">Oefentoets — tien vragen</w:t>
      </w:r>
    </w:p>
    <w:p>
      <w:pPr>
        <w:spacing w:after="140" w:line="300"/>
      </w:pPr>
      <w:r>
        <w:rPr>
          <w:rFonts w:ascii="Calibri" w:cs="Calibri" w:eastAsia="Calibri" w:hAnsi="Calibri"/>
          <w:sz w:val="22"/>
          <w:szCs w:val="22"/>
        </w:rPr>
        <w:t xml:space="preserve">1. Wat is documentflow? A. Een rapportagetool. B. De expliciete registratie van relaties tussen samenhangende documenten. C. Een type BTX. D. Een testmethode. 2. Wat is een statusmodel? A. Een tabel zonder sleutel. B. Een vaste reeks toestanden die een document doorloopt, met toegestane overgangen. C. Een rapportagevraag. D. Een type middleware. 3. Waarom staat een statusmodel niet elke overgang toe? A. Om het systeem trager te maken. B. Om te voorkomen dat een document zonder de juiste tussenstappen wordt afgerond. C. Toegestane overgangen bestaan niet in SAP. D. Willekeurig, zonder reden. 4. Waar is een statusmodel vergelijkbaar mee uit deel 3? A. Een sleutel. B. Een domein — een beperkte set toegestane waarden, hier toegepast op documentniveau. C. Een tabel. D. Een IDoc. 5. Wat koppelt documentflow bij FS-PM? A. Niets. B. De oorspronkelijke polis aan alle latere wijzigingen en beëindiging. C. Alleen claims. D. Alleen boekingen. 6. Wat koppelt documentflow bij FS-CM? A. Niets. B. Een claim aan de polis, correspondentie, uitkeringsboeking en eventueel regres. C. Alleen premie-incasso. D. Alleen tabellen. 7. Wat is de eerste vraag bij "ik kan het niet terugvinden"? A. Wie heeft dit gebouwd? B. Ontbreekt de koppeling zelf, of ontbreekt de kennis om haar te bekijken? C. Is dit een BTX? D. Is dit synchroon of asynchroon? 8. Waarom is documentflow relevant voor auditeerbaarheid (deel 29)? A. Geen verband. B. Het maakt een volledige, traceerbare geschiedenis zichtbaar. C. Auditeerbaarheid heeft niets met documenten te maken. D. Documentflow verwijdert oude documenten. 9. Wat is het verschil tussen een ontbrekende koppeling en een navigatieprobleem? A. Geen verschil. B. Het eerste is een datamodel-probleem, het tweede een kennis-/trainingsprobleem. C. Beide zijn altijd hetzelfde probleem. D. Alleen ontwikkelaars kunnen dit onderscheiden. 10. Wat is de kernzin van reader §3? A. Documentflow is optioneel. B. Documentflow is voor documenten wat een sleutel is voor tabelrijen. C. Documentflow bestaat niet in FS-CM. D. Documentflow vervangt statusmodellen.</w:t>
      </w:r>
    </w:p>
    <w:tbl>
      <w:tblPr>
        <w:tblW w:type="pct" w:w="100%"/>
        <w:tblBorders>
          <w:top w:val="single" w:color="D99A3D" w:sz="4"/>
          <w:left w:val="single" w:color="D99A3D" w:sz="4"/>
          <w:bottom w:val="single" w:color="D99A3D" w:sz="4"/>
          <w:right w:val="single" w:color="D99A3D" w:sz="4"/>
          <w:insideH w:val="single" w:color="auto" w:sz="4"/>
          <w:insideV w:val="single" w:color="auto" w:sz="4"/>
        </w:tblBorders>
      </w:tblPr>
      <w:tblGrid>
        <w:gridCol w:w="100"/>
      </w:tblGrid>
      <w:tr>
        <w:tc>
          <w:tcPr>
            <w:shd w:fill="1B2A4A" w:color="auto" w:val="clear"/>
            <w:tcMar>
              <w:top w:type="dxa" w:w="40"/>
              <w:left w:type="dxa" w:w="220"/>
              <w:bottom w:type="dxa" w:w="0"/>
              <w:right w:type="dxa" w:w="220"/>
            </w:tcMar>
          </w:tcPr>
          <w:p>
            <w:pPr>
              <w:spacing w:after="100"/>
            </w:pPr>
            <w:r>
              <w:rPr>
                <w:rFonts w:ascii="Georgia" w:cs="Georgia" w:eastAsia="Georgia" w:hAnsi="Georgia"/>
                <w:b/>
                <w:bCs/>
                <w:color w:val="FFFFFF"/>
                <w:sz w:val="22"/>
                <w:szCs w:val="22"/>
              </w:rPr>
              <w:t xml:space="preserve">UITWERKING</w:t>
            </w:r>
          </w:p>
        </w:tc>
      </w:tr>
      <w:tr>
        <w:tc>
          <w:tcPr>
            <w:shd w:fill="FBF3E7" w:color="auto" w:val="clear"/>
            <w:tcMar>
              <w:top w:type="dxa" w:w="160"/>
              <w:left w:type="dxa" w:w="220"/>
              <w:bottom w:type="dxa" w:w="160"/>
              <w:right w:type="dxa" w:w="220"/>
            </w:tcMar>
          </w:tcPr>
          <w:p>
            <w:pPr>
              <w:spacing w:after="100" w:line="280"/>
            </w:pPr>
            <w:r>
              <w:rPr>
                <w:rFonts w:ascii="Calibri" w:cs="Calibri" w:eastAsia="Calibri" w:hAnsi="Calibri"/>
                <w:sz w:val="22"/>
                <w:szCs w:val="22"/>
              </w:rPr>
              <w:t xml:space="preserve">(Antwoorden)</w:t>
            </w:r>
          </w:p>
          <w:p>
            <w:pPr>
              <w:spacing w:after="100" w:line="280"/>
            </w:pPr>
            <w:r>
              <w:rPr>
                <w:rFonts w:ascii="Calibri" w:cs="Calibri" w:eastAsia="Calibri" w:hAnsi="Calibri"/>
                <w:sz w:val="22"/>
                <w:szCs w:val="22"/>
              </w:rPr>
              <w:t xml:space="preserve">1B 2B 3B 4B 5B 6B 7B 8B 9B 10B</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Pagina </w:t>
    </w:r>
    <w:r>
      <w:rPr>
        <w:rFonts w:ascii="Calibri" w:cs="Calibri" w:eastAsia="Calibri" w:hAnsi="Calibri"/>
        <w:color w:val="888888"/>
        <w:sz w:val="16"/>
        <w:szCs w:val="16"/>
      </w:rPr>
      <w:fldChar w:fldCharType="begin"/>
      <w:instrText xml:space="preserve">PAGE</w:instrText>
      <w:fldChar w:fldCharType="separate"/>
      <w:fldChar w:fldCharType="end"/>
    </w:r>
    <w:r>
      <w:rPr>
        <w:rFonts w:ascii="Calibri" w:cs="Calibri" w:eastAsia="Calibri" w:hAnsi="Calibri"/>
        <w:color w:val="888888"/>
        <w:sz w:val="16"/>
        <w:szCs w:val="16"/>
      </w:rPr>
      <w:t xml:space="preserve"> van </w:t>
    </w:r>
    <w:r>
      <w:rPr>
        <w:rFonts w:ascii="Calibri" w:cs="Calibri" w:eastAsia="Calibri" w:hAnsi="Calibri"/>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C5AA0" w:sz="6" w:space="4"/>
      </w:pBdr>
      <w:jc w:val="right"/>
    </w:pPr>
    <w:r>
      <w:rPr>
        <w:rFonts w:ascii="Calibri" w:cs="Calibri" w:eastAsia="Calibri" w:hAnsi="Calibri"/>
        <w:color w:val="2C5AA0"/>
        <w:sz w:val="16"/>
        <w:szCs w:val="16"/>
      </w:rPr>
      <w:t xml:space="preserve">SAP voor Business Analysts · Niveau 2 Professional · Deel 16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2026-08-16T20:12:48.849Z</dcterms:created>
  <dcterms:modified xsi:type="dcterms:W3CDTF">2026-08-16T20:12:48.849Z</dcterms:modified>
</cp:coreProperties>
</file>

<file path=docProps/custom.xml><?xml version="1.0" encoding="utf-8"?>
<Properties xmlns="http://schemas.openxmlformats.org/officeDocument/2006/custom-properties" xmlns:vt="http://schemas.openxmlformats.org/officeDocument/2006/docPropsVTypes"/>
</file>