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17 — Organisatiestructuur &amp; determinatie</w:t>
      </w:r>
    </w:p>
    <w:p>
      <w:pPr>
        <w:spacing w:after="300"/>
      </w:pPr>
      <w:r>
        <w:rPr>
          <w:rFonts w:ascii="Calibri" w:cs="Calibri" w:eastAsia="Calibri" w:hAnsi="Calibri"/>
          <w:i/>
          <w:iCs/>
          <w:color w:val="2C5AA0"/>
          <w:sz w:val="22"/>
          <w:szCs w:val="22"/>
        </w:rPr>
        <w:t xml:space="preserve">Docentenhandleiding · Niveau 2 Professional · Cursus SAP voor Business Analysts · Ductus</w:t>
      </w:r>
    </w:p>
    <w:p>
      <w:pPr>
        <w:pStyle w:val="Heading2"/>
        <w:spacing w:after="120" w:before="200"/>
      </w:pPr>
      <w:r>
        <w:rPr>
          <w:rFonts w:ascii="Georgia" w:cs="Georgia" w:eastAsia="Georgia" w:hAnsi="Georgia"/>
          <w:b/>
          <w:bCs/>
          <w:color w:val="2C5AA0"/>
          <w:sz w:val="28"/>
          <w:szCs w:val="28"/>
        </w:rPr>
        <w:t xml:space="preserve">1. Bedoeling van dit deel</w:t>
      </w:r>
    </w:p>
    <w:p>
      <w:pPr>
        <w:spacing w:after="140" w:line="300"/>
      </w:pPr>
      <w:r>
        <w:rPr>
          <w:rFonts w:ascii="Calibri" w:cs="Calibri" w:eastAsia="Calibri" w:hAnsi="Calibri"/>
          <w:sz w:val="22"/>
          <w:szCs w:val="22"/>
        </w:rPr>
        <w:t xml:space="preserve">Dit deel generaliseert account determination (deel 15) tot een breder principe. Herhaal die brug expliciet aan het begin, zodat deelnemers het gevoel krijgen dat dit géén volledig nieuw onderwerp is, maar een uitbreiding van iets dat ze al kennen.</w:t>
      </w:r>
    </w:p>
    <w:p>
      <w:pPr>
        <w:spacing w:after="140" w:line="300"/>
      </w:pPr>
      <w:r>
        <w:rPr>
          <w:rFonts w:ascii="Calibri" w:cs="Calibri" w:eastAsia="Calibri" w:hAnsi="Calibri"/>
          <w:sz w:val="22"/>
          <w:szCs w:val="22"/>
        </w:rPr>
        <w:t xml:space="preserve">Eén zin om te onthouden: een reorganisatie is pas compleet als de determinatieregels zijn bijgewerkt.</w:t>
      </w:r>
    </w:p>
    <w:p>
      <w:pPr>
        <w:pStyle w:val="Heading2"/>
        <w:spacing w:after="120" w:before="200"/>
      </w:pPr>
      <w:r>
        <w:rPr>
          <w:rFonts w:ascii="Georgia" w:cs="Georgia" w:eastAsia="Georgia" w:hAnsi="Georgia"/>
          <w:b/>
          <w:bCs/>
          <w:color w:val="2C5AA0"/>
          <w:sz w:val="28"/>
          <w:szCs w:val="28"/>
        </w:rPr>
        <w:t xml:space="preserve">2. Programma dagdeel (3 uur, twee pauzes)</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Wie is verantwoordelijk voor deze polis? (reader §1)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verhalend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Organisatiestructuur (reader §3) + opdracht 17.2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 individueel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0:35–1:00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Determinatie als generalisatie (reader §4) + opdracht 17.1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 individueel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1:00–1:10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1:10–1:35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Determinatie bij FS-PM en FS-CM (reader §5)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1:35–2:05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17.3 de reorganisatie doorrekenen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groepjes +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2:05–2:15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2:15–2:45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Een determinatievraag stellen (reader §7) + opdracht 17.4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 individueel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2:45–3:00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 vooruitblik deel 18</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bl>
    <w:p>
      <w:pPr>
        <w:spacing w:after="140" w:line="300"/>
      </w:pPr>
      <w:r>
        <w:rPr>
          <w:rFonts w:ascii="Calibri" w:cs="Calibri" w:eastAsia="Calibri" w:hAnsi="Calibri"/>
          <w:sz w:val="22"/>
          <w:szCs w:val="22"/>
        </w:rPr>
        <w:t xml:space="preserve">Opdracht 17.5 huiswerk.</w:t>
      </w:r>
    </w:p>
    <w:p>
      <w:pPr>
        <w:pStyle w:val="Heading2"/>
        <w:spacing w:after="120" w:before="200"/>
      </w:pPr>
      <w:r>
        <w:rPr>
          <w:rFonts w:ascii="Georgia" w:cs="Georgia" w:eastAsia="Georgia" w:hAnsi="Georgia"/>
          <w:b/>
          <w:bCs/>
          <w:color w:val="2C5AA0"/>
          <w:sz w:val="28"/>
          <w:szCs w:val="28"/>
        </w:rPr>
        <w:t xml:space="preserve">3. Aandachtspunten</w:t>
      </w:r>
    </w:p>
    <w:p>
      <w:pPr>
        <w:spacing w:after="140" w:line="300"/>
      </w:pPr>
      <w:r>
        <w:rPr>
          <w:rFonts w:ascii="Calibri" w:cs="Calibri" w:eastAsia="Calibri" w:hAnsi="Calibri"/>
          <w:sz w:val="22"/>
          <w:szCs w:val="22"/>
        </w:rPr>
        <w:t xml:space="preserve">Bij opdracht 17.3, dit is de kernoefening — bewaak dat groepen concrete, meetbare gevolgen bedenken (werkdruk, rapportagevertekening) in plaats van vage uitspraken ("het wordt rommelig"). Trek expliciet de parallel met deel 4 §5 als de groep die kent.</w:t>
      </w:r>
    </w:p>
    <w:p>
      <w:pPr>
        <w:pStyle w:val="Heading2"/>
        <w:spacing w:after="120" w:before="200"/>
      </w:pPr>
      <w:r>
        <w:rPr>
          <w:rFonts w:ascii="Georgia" w:cs="Georgia" w:eastAsia="Georgia" w:hAnsi="Georgia"/>
          <w:b/>
          <w:bCs/>
          <w:color w:val="2C5AA0"/>
          <w:sz w:val="28"/>
          <w:szCs w:val="28"/>
        </w:rPr>
        <w:t xml:space="preserve">4. Veelgestelde vragen</w:t>
      </w:r>
    </w:p>
    <w:p>
      <w:pPr>
        <w:spacing w:after="140" w:line="300"/>
      </w:pPr>
      <w:r>
        <w:rPr>
          <w:rFonts w:ascii="Calibri" w:cs="Calibri" w:eastAsia="Calibri" w:hAnsi="Calibri"/>
          <w:sz w:val="22"/>
          <w:szCs w:val="22"/>
        </w:rPr>
        <w:t xml:space="preserve">"Wie is verantwoordelijk voor het bijwerken van determinatieregels na een reorganisatie?" Meestal een gezamenlijke actie van de BA (die de nieuwe organisatiebehoefte kent) en de consultant (die de regels technisch bijwerkt) — vergelijkbaar met het patroon uit deel 6.</w:t>
      </w:r>
    </w:p>
    <w:p>
      <w:pPr>
        <w:pStyle w:val="Heading2"/>
        <w:spacing w:after="120" w:before="200"/>
      </w:pPr>
      <w:r>
        <w:rPr>
          <w:rFonts w:ascii="Georgia" w:cs="Georgia" w:eastAsia="Georgia" w:hAnsi="Georgia"/>
          <w:b/>
          <w:bCs/>
          <w:color w:val="2C5AA0"/>
          <w:sz w:val="28"/>
          <w:szCs w:val="28"/>
        </w:rPr>
        <w:t xml:space="preserve">5. Benodigdheden</w:t>
      </w:r>
    </w:p>
    <w:p>
      <w:pPr>
        <w:spacing w:after="140" w:line="300"/>
      </w:pPr>
      <w:r>
        <w:rPr>
          <w:rFonts w:ascii="Calibri" w:cs="Calibri" w:eastAsia="Calibri" w:hAnsi="Calibri"/>
          <w:sz w:val="22"/>
          <w:szCs w:val="22"/>
        </w:rPr>
        <w:t xml:space="preserve">Casusdossier-aanvulling SAP, slidedeck deel 17.</w:t>
      </w:r>
    </w:p>
    <w:p>
      <w:pPr>
        <w:pStyle w:val="Heading2"/>
        <w:spacing w:after="120" w:before="200"/>
      </w:pPr>
      <w:r>
        <w:rPr>
          <w:rFonts w:ascii="Georgia" w:cs="Georgia" w:eastAsia="Georgia" w:hAnsi="Georgia"/>
          <w:b/>
          <w:bCs/>
          <w:color w:val="2C5AA0"/>
          <w:sz w:val="28"/>
          <w:szCs w:val="28"/>
        </w:rPr>
        <w:t xml:space="preserve">6. Voorbereiding op deel 18</w:t>
      </w:r>
    </w:p>
    <w:p>
      <w:pPr>
        <w:spacing w:after="140" w:line="300"/>
      </w:pPr>
      <w:r>
        <w:rPr>
          <w:rFonts w:ascii="Calibri" w:cs="Calibri" w:eastAsia="Calibri" w:hAnsi="Calibri"/>
          <w:sz w:val="22"/>
          <w:szCs w:val="22"/>
        </w:rPr>
        <w:t xml:space="preserve">Deel 18 (Status, berichten &amp; output) bouwt voort op het statusmodel-concept uit deel 16 en het determinatie-principe uit dit deel — determinatie bepaalt daar mede wie welke notificatie ontvangt.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2 Professional · Deel 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2026-08-16T20:12:49.785Z</dcterms:created>
  <dcterms:modified xsi:type="dcterms:W3CDTF">2026-08-16T20:12:49.785Z</dcterms:modified>
</cp:coreProperties>
</file>

<file path=docProps/custom.xml><?xml version="1.0" encoding="utf-8"?>
<Properties xmlns="http://schemas.openxmlformats.org/officeDocument/2006/custom-properties" xmlns:vt="http://schemas.openxmlformats.org/officeDocument/2006/docPropsVTypes"/>
</file>