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B2A4A"/>
          <w:sz w:val="44"/>
          <w:szCs w:val="44"/>
        </w:rPr>
        <w:t xml:space="preserve">Deel 19 — Case: Order-to-Cash ontleed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C5AA0"/>
          <w:sz w:val="22"/>
          <w:szCs w:val="22"/>
        </w:rPr>
        <w:t xml:space="preserve">Docentenhandleiding · Niveau 2 Professional · Cursus SAP voor Business Analysts · Ductus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1. Bedoeling van dit deel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Dit is een synthesedeel, symmetrisch aan deel 9/10 in niveau 1 — geen nieuwe stof, wel de belangrijkste denksprong van niveau 2: van losse lagen naar één keten, met het inzicht dat risico's in overgangen zitten. Voor groepen die de testcursus kennen, is de brug naar bevinding T7 het sterkste leermoment; voor groepen zonder die achtergrond werkt reader §4-5 ook zelfstandig.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Eén zin om te onthouden: in een keten van acht lagen zit het risico zelden in de lagen zelf, maar in de overgangen ertussen.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2. Programma dagdeel (3 uur, twee pauzes)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Vorm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0:00–0:15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Van losse delen naar één keten (reader §1)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verhalend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0:15–0:40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Order-to-Cash stap voor stap (reader §3) + opdracht 19.1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 + individueel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0:40–1:10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Waar zit het risico? (reader §4) + opdracht 19.2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 + tweetallen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1:10–1:20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1:20–1:45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19.3 bevinding T7 herkennen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individueel + plenair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1:45–2:15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19.4 een ketentest schetsen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groepjes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2:15–2:25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2:25–2:55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Nabespreking opdracht 19.4, synthese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plenair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2:55–3:00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Afsluiting, vooruitblik deel 20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plenair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Opdracht 19.5 huiswerk.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3. Aandachtspunten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Bij opdracht 19.2, dit is de belangrijkste oefening. Loop actief rond en toets of groepen daadwerkelijk overgángen benoemen (tussen stappen) in plaats van risico's binnen een stap — dat onderscheid is precies het punt van het deel. Bij opdracht 19.4, houd de scope BA-niveau: geen volledig testplan, wel een heldere lijst van te dekken overgangen.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4. Veelgestelde vragen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"Is dit niet gewoon het testvak van de zustercursus?" Deels overlappend qua denkwijze (risico in overgangen), maar dit deel benadert het vanuit BA-perspectief (wat moet ik weten om een goed ontwerp te herkennen), niet vanuit testuitvoering. Verwijs voor de volle diepte naar de zustercursus.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5. Benodigdheden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Casusdossier-aanvulling SAP, slidedeck deel 19.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6. Voorbereiding op deel 20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20 herhaalt dezelfde end-to-end aanpak voor FS-CM (Claims-to-Payment) — geen aanvullende voorbereiding nodig, maar de vaardigheid uit dit deel wordt daar direct hergebruikt.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AA0" w:sz="6" w:space="4"/>
      </w:pBdr>
      <w:jc w:val="right"/>
    </w:pPr>
    <w:r>
      <w:rPr>
        <w:rFonts w:ascii="Calibri" w:cs="Calibri" w:eastAsia="Calibri" w:hAnsi="Calibri"/>
        <w:color w:val="2C5AA0"/>
        <w:sz w:val="16"/>
        <w:szCs w:val="16"/>
      </w:rPr>
      <w:t xml:space="preserve">SAP voor Business Analysts · Niveau 2 Professional · Deel 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2026-08-16T20:12:51.213Z</dcterms:created>
  <dcterms:modified xsi:type="dcterms:W3CDTF">2026-08-16T20:12:51.213Z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