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19 — Case: Order-to-Cash ontleed</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volledige Order-to-Cash-proces voor een nieuwe polis end-to-end beschrijven, van BTX tot boeking;</w:t>
      </w:r>
    </w:p>
    <w:p>
      <w:pPr>
        <w:pStyle w:val="ListParagraph"/>
        <w:numPr>
          <w:ilvl w:val="0"/>
          <w:numId w:val="1"/>
        </w:numPr>
        <w:spacing w:after="80"/>
      </w:pPr>
      <w:r>
        <w:rPr>
          <w:rFonts w:ascii="Calibri" w:cs="Calibri" w:eastAsia="Calibri" w:hAnsi="Calibri"/>
          <w:sz w:val="22"/>
          <w:szCs w:val="22"/>
        </w:rPr>
        <w:t xml:space="preserve">bij elke processtap aanwijzen welk deel uit 11-18 daar de onderliggende laag vormt;</w:t>
      </w:r>
    </w:p>
    <w:p>
      <w:pPr>
        <w:pStyle w:val="ListParagraph"/>
        <w:numPr>
          <w:ilvl w:val="0"/>
          <w:numId w:val="1"/>
        </w:numPr>
        <w:spacing w:after="80"/>
      </w:pPr>
      <w:r>
        <w:rPr>
          <w:rFonts w:ascii="Calibri" w:cs="Calibri" w:eastAsia="Calibri" w:hAnsi="Calibri"/>
          <w:sz w:val="22"/>
          <w:szCs w:val="22"/>
        </w:rPr>
        <w:t xml:space="preserve">een end-to-end procesanalyse gebruiken om te beoordelen waar een fout zich het waarschijnlijkst zou voordoen;</w:t>
      </w:r>
    </w:p>
    <w:p>
      <w:pPr>
        <w:pStyle w:val="ListParagraph"/>
        <w:numPr>
          <w:ilvl w:val="0"/>
          <w:numId w:val="1"/>
        </w:numPr>
        <w:spacing w:after="80"/>
      </w:pPr>
      <w:r>
        <w:rPr>
          <w:rFonts w:ascii="Calibri" w:cs="Calibri" w:eastAsia="Calibri" w:hAnsi="Calibri"/>
          <w:sz w:val="22"/>
          <w:szCs w:val="22"/>
        </w:rPr>
        <w:t xml:space="preserve">de ketentest-les uit de zustercursus (WGP 2.0, bevinding T7) toepassen op dit FS-PM-proces;</w:t>
      </w:r>
    </w:p>
    <w:p>
      <w:pPr>
        <w:pStyle w:val="ListParagraph"/>
        <w:numPr>
          <w:ilvl w:val="0"/>
          <w:numId w:val="1"/>
        </w:numPr>
        <w:spacing w:after="80"/>
      </w:pPr>
      <w:r>
        <w:rPr>
          <w:rFonts w:ascii="Calibri" w:cs="Calibri" w:eastAsia="Calibri" w:hAnsi="Calibri"/>
          <w:sz w:val="22"/>
          <w:szCs w:val="22"/>
        </w:rPr>
        <w:t xml:space="preserve">een eigen end-to-end analyse opstellen voor een nieuw, vergelijkbaar scenario.</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Van losse delen naar één keten</w:t>
      </w:r>
    </w:p>
    <w:p>
      <w:pPr>
        <w:spacing w:after="140" w:line="300"/>
      </w:pPr>
      <w:r>
        <w:rPr>
          <w:rFonts w:ascii="Calibri" w:cs="Calibri" w:eastAsia="Calibri" w:hAnsi="Calibri"/>
          <w:sz w:val="22"/>
          <w:szCs w:val="22"/>
        </w:rPr>
        <w:t xml:space="preserve">Acht delen lang heeft niveau 2 FS-PM en zijn omgeving in losse lagen behandeld: BTX (11), configuratie (12), de financiële schaduw (15), documentflow (16), organisatiestructuur (17), output (18). Dit deel zet ze weer aan elkaar: Order-to-Cash — van een nieuwe polisaanvraag tot de eerste premie-incasso — als één doorlopende keten.</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19-1] Order-to-Cash als één lijn, met bij elke stap een label naar het deel waar die stof vandaan komt.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Een BA die alle acht lagen apart kent maar ze niet als keten kan doorzien, mist precies het soort inzicht dat bevinding T7 uit het WGP 2.0-dossier (↗ testcursus) blootlegde: elke partij testte tot haar eigen grens, en niemand testte de hele keten.</w:t>
            </w:r>
          </w:p>
        </w:tc>
      </w:tr>
    </w:tbl>
    <w:p>
      <w:pPr>
        <w:pStyle w:val="Heading2"/>
        <w:spacing w:after="120" w:before="200"/>
      </w:pPr>
      <w:r>
        <w:rPr>
          <w:rFonts w:ascii="Georgia" w:cs="Georgia" w:eastAsia="Georgia" w:hAnsi="Georgia"/>
          <w:b/>
          <w:bCs/>
          <w:color w:val="2C5AA0"/>
          <w:sz w:val="28"/>
          <w:szCs w:val="28"/>
        </w:rPr>
        <w:t xml:space="preserve">3. Order-to-Cash, stap voor stap</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gebeurt er</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Onderliggende laag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 Aanvraag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werkgever vraagt een nieuwe collectieve regeling 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Fit-gap-context (↗ deel 9, niveau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 BTX New Business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polis wordt aangemaakt als BTX</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 Configuratie toegepast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Product Engine, TMF, BRFplus, BTS bepalen de details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 Organisatietoewijzing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Determinatie wijst een verantwoordelijk team toe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 Documentflow-koppeling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BTX wordt gekoppeld aan de polis en eventuele vervolgacties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 Bevestigingsoutput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bevestigingsbrief wordt gegenereerd en verstuurd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 Financiële schaduw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Premie-incasso start via FS-CD, boeking in Accounting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 15</w:t>
            </w:r>
          </w:p>
        </w:tc>
      </w:tr>
    </w:tbl>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19-2] De zeven stappen als een keten, met pijlen tussen elke stap.</w:t>
      </w:r>
    </w:p>
    <w:p>
      <w:pPr>
        <w:pStyle w:val="Heading2"/>
        <w:spacing w:after="120" w:before="200"/>
      </w:pPr>
      <w:r>
        <w:rPr>
          <w:rFonts w:ascii="Georgia" w:cs="Georgia" w:eastAsia="Georgia" w:hAnsi="Georgia"/>
          <w:b/>
          <w:bCs/>
          <w:color w:val="2C5AA0"/>
          <w:sz w:val="28"/>
          <w:szCs w:val="28"/>
        </w:rPr>
        <w:t xml:space="preserve">4. Waar een fout zich het waarschijnlijkst voordoet</w:t>
      </w:r>
    </w:p>
    <w:p>
      <w:pPr>
        <w:spacing w:after="140" w:line="300"/>
      </w:pPr>
      <w:r>
        <w:rPr>
          <w:rFonts w:ascii="Calibri" w:cs="Calibri" w:eastAsia="Calibri" w:hAnsi="Calibri"/>
          <w:sz w:val="22"/>
          <w:szCs w:val="22"/>
        </w:rPr>
        <w:t xml:space="preserve">Met de lessen uit deel 3 §6, deel 4 §5, en deel 18 §5 kun je nu voorspellen waar in deze keten fouten het lastigst te detecteren zijn: niet bij de zichtbare stappen (1-2, waar iemand direct ziet wat er gebeurt), maar bij de overgangen tussen stappen — precies zoals een koppelvlak (↗ deel 7, niveau 1) een plek is waar iets kan "verdwijnen." De overgang tussen stap 4 (organisatietoewijzing) en stap 6 (output) is bijvoorbeeld kwetsbaar: als determinatie een verouderde regel gebruikt (deel 17 §6), kan de bevestiging naar het verkeerde team of de verkeerde afzender lijken te komen.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In een keten van acht lagen zit het risico zelden in de lagen zelf, maar in de overgangen ertussen — precies zoals bevinding T7 (↗ testcursus) liet zien dat het WGP 2.0-incident niet in één component zat, maar in de overdracht tussen twee componenten.</w:t>
            </w:r>
          </w:p>
        </w:tc>
      </w:tr>
    </w:tbl>
    <w:p>
      <w:pPr>
        <w:pStyle w:val="Heading2"/>
        <w:spacing w:after="120" w:before="200"/>
      </w:pPr>
      <w:r>
        <w:rPr>
          <w:rFonts w:ascii="Georgia" w:cs="Georgia" w:eastAsia="Georgia" w:hAnsi="Georgia"/>
          <w:b/>
          <w:bCs/>
          <w:color w:val="2C5AA0"/>
          <w:sz w:val="28"/>
          <w:szCs w:val="28"/>
        </w:rPr>
        <w:t xml:space="preserve">5. Een end-to-end ketentest — wat zou het testen?</w:t>
      </w:r>
    </w:p>
    <w:p>
      <w:pPr>
        <w:spacing w:after="140" w:line="300"/>
      </w:pPr>
      <w:r>
        <w:rPr>
          <w:rFonts w:ascii="Calibri" w:cs="Calibri" w:eastAsia="Calibri" w:hAnsi="Calibri"/>
          <w:sz w:val="22"/>
          <w:szCs w:val="22"/>
        </w:rPr>
        <w:t xml:space="preserve">Zonder dit deel te laten overlappen met de zustercursus se testvak, is het voor een BA nuttig om te kunnen benoemen wat een goede end-to-end test van dit proces zou moeten dekken: elke stap in tabel §3, plus expliciet de overgangen ertussen — niet alleen "werkt stap 2" en "werkt stap 7" apart, maar "komt de output van stap 2 daadwerkelijk correct aan bij stap 3."</w:t>
      </w:r>
    </w:p>
    <w:p>
      <w:pPr>
        <w:pStyle w:val="Heading2"/>
        <w:spacing w:after="120" w:before="200"/>
      </w:pPr>
      <w:r>
        <w:rPr>
          <w:rFonts w:ascii="Georgia" w:cs="Georgia" w:eastAsia="Georgia" w:hAnsi="Georgia"/>
          <w:b/>
          <w:bCs/>
          <w:color w:val="2C5AA0"/>
          <w:sz w:val="28"/>
          <w:szCs w:val="28"/>
        </w:rPr>
        <w:t xml:space="preserve">6. Kruisverwijzingen</w:t>
      </w:r>
    </w:p>
    <w:p>
      <w:pPr>
        <w:pStyle w:val="ListParagraph"/>
        <w:numPr>
          <w:ilvl w:val="0"/>
          <w:numId w:val="1"/>
        </w:numPr>
        <w:spacing w:after="80"/>
      </w:pPr>
      <w:r>
        <w:rPr>
          <w:rFonts w:ascii="Calibri" w:cs="Calibri" w:eastAsia="Calibri" w:hAnsi="Calibri"/>
          <w:sz w:val="22"/>
          <w:szCs w:val="22"/>
        </w:rPr>
        <w:t xml:space="preserve">↗ Deel 11-18: elke laag van deze keten in detail.</w:t>
      </w:r>
    </w:p>
    <w:p>
      <w:pPr>
        <w:pStyle w:val="ListParagraph"/>
        <w:numPr>
          <w:ilvl w:val="0"/>
          <w:numId w:val="1"/>
        </w:numPr>
        <w:spacing w:after="80"/>
      </w:pPr>
      <w:r>
        <w:rPr>
          <w:rFonts w:ascii="Calibri" w:cs="Calibri" w:eastAsia="Calibri" w:hAnsi="Calibri"/>
          <w:sz w:val="22"/>
          <w:szCs w:val="22"/>
        </w:rPr>
        <w:t xml:space="preserve">↗ Testen en Kwaliteitsborging, hoofddossier: bevinding T7 als parallel voor het risico in overgangen.</w:t>
      </w:r>
    </w:p>
    <w:p>
      <w:pPr>
        <w:pStyle w:val="ListParagraph"/>
        <w:numPr>
          <w:ilvl w:val="0"/>
          <w:numId w:val="1"/>
        </w:numPr>
        <w:spacing w:after="80"/>
      </w:pPr>
      <w:r>
        <w:rPr>
          <w:rFonts w:ascii="Calibri" w:cs="Calibri" w:eastAsia="Calibri" w:hAnsi="Calibri"/>
          <w:sz w:val="22"/>
          <w:szCs w:val="22"/>
        </w:rPr>
        <w:t xml:space="preserve">↗ Deel 20: hetzelfde end-to-end perspectief, toegepast op FS-CM (Claims-to-Payment).</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Order-to-Cash · end-to-end procesanalyse · overgang tussen processtappen · ketentest</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Order-to-Cash brengt acht losse FS-PM-lagen (deel 11-18) samen in één doorlopende keten, van aanvraag tot boeking.</w:t>
      </w:r>
    </w:p>
    <w:p>
      <w:pPr>
        <w:pStyle w:val="ListParagraph"/>
        <w:numPr>
          <w:ilvl w:val="0"/>
          <w:numId w:val="1"/>
        </w:numPr>
        <w:spacing w:after="80"/>
      </w:pPr>
      <w:r>
        <w:rPr>
          <w:rFonts w:ascii="Calibri" w:cs="Calibri" w:eastAsia="Calibri" w:hAnsi="Calibri"/>
          <w:sz w:val="22"/>
          <w:szCs w:val="22"/>
        </w:rPr>
        <w:t xml:space="preserve">Elke stap in de keten heeft een herkenbare onderliggende laag uit eerdere delen.</w:t>
      </w:r>
    </w:p>
    <w:p>
      <w:pPr>
        <w:pStyle w:val="ListParagraph"/>
        <w:numPr>
          <w:ilvl w:val="0"/>
          <w:numId w:val="1"/>
        </w:numPr>
        <w:spacing w:after="80"/>
      </w:pPr>
      <w:r>
        <w:rPr>
          <w:rFonts w:ascii="Calibri" w:cs="Calibri" w:eastAsia="Calibri" w:hAnsi="Calibri"/>
          <w:sz w:val="22"/>
          <w:szCs w:val="22"/>
        </w:rPr>
        <w:t xml:space="preserve">Risico's zitten zelden in de lagen zelf, maar in de overgangen ertussen.</w:t>
      </w:r>
    </w:p>
    <w:p>
      <w:pPr>
        <w:pStyle w:val="ListParagraph"/>
        <w:numPr>
          <w:ilvl w:val="0"/>
          <w:numId w:val="1"/>
        </w:numPr>
        <w:spacing w:after="80"/>
      </w:pPr>
      <w:r>
        <w:rPr>
          <w:rFonts w:ascii="Calibri" w:cs="Calibri" w:eastAsia="Calibri" w:hAnsi="Calibri"/>
          <w:sz w:val="22"/>
          <w:szCs w:val="22"/>
        </w:rPr>
        <w:t xml:space="preserve">Dit patroon is direct verwant aan bevinding T7 uit het WGP 2.0-dossier: niemand testte de volledige keten.</w:t>
      </w:r>
    </w:p>
    <w:p>
      <w:pPr>
        <w:pStyle w:val="ListParagraph"/>
        <w:numPr>
          <w:ilvl w:val="0"/>
          <w:numId w:val="1"/>
        </w:numPr>
        <w:spacing w:after="80"/>
      </w:pPr>
      <w:r>
        <w:rPr>
          <w:rFonts w:ascii="Calibri" w:cs="Calibri" w:eastAsia="Calibri" w:hAnsi="Calibri"/>
          <w:sz w:val="22"/>
          <w:szCs w:val="22"/>
        </w:rPr>
        <w:t xml:space="preserve">Een goede end-to-end analyse dekt zowel elke stap als expliciet de overgangen ertussen.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7a27b62b67c6b9843fcfc91b29e9dcc686f5a3.png"/><Relationship Id="rId10" Type="http://schemas.openxmlformats.org/officeDocument/2006/relationships/image" Target="media/3cfd86596329a9c49f5a18aca088ba4751f7c8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2026-08-16T20:12:51.164Z</dcterms:created>
  <dcterms:modified xsi:type="dcterms:W3CDTF">2026-08-16T20:12:51.164Z</dcterms:modified>
</cp:coreProperties>
</file>

<file path=docProps/custom.xml><?xml version="1.0" encoding="utf-8"?>
<Properties xmlns="http://schemas.openxmlformats.org/officeDocument/2006/custom-properties" xmlns:vt="http://schemas.openxmlformats.org/officeDocument/2006/docPropsVTypes"/>
</file>