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19 — Case: Order-to-Cash ontleed</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19.1 — De keten koppelen (15 min, individueel)</w:t>
      </w:r>
    </w:p>
    <w:p>
      <w:pPr>
        <w:spacing w:after="140" w:line="300"/>
      </w:pPr>
      <w:r>
        <w:rPr>
          <w:rFonts w:ascii="Calibri" w:cs="Calibri" w:eastAsia="Calibri" w:hAnsi="Calibri"/>
          <w:sz w:val="22"/>
          <w:szCs w:val="22"/>
        </w:rPr>
        <w:t xml:space="preserve">Koppel elke stap uit de Order-to-Cash-keten (reader §3) aan het deel waaruit de onderliggende stof komt, zonder in de reader te kijken.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Zie tabel in reader §3: 1→deel 9 (niveau 1), 2→deel 11, 3→deel 12, 4→deel 17, 5→deel 16, 6→deel 18, 7→deel 15.</w:t>
            </w:r>
          </w:p>
        </w:tc>
      </w:tr>
    </w:tbl>
    <w:p>
      <w:pPr>
        <w:pStyle w:val="Heading2"/>
        <w:spacing w:after="120" w:before="200"/>
      </w:pPr>
      <w:r>
        <w:rPr>
          <w:rFonts w:ascii="Georgia" w:cs="Georgia" w:eastAsia="Georgia" w:hAnsi="Georgia"/>
          <w:b/>
          <w:bCs/>
          <w:color w:val="2C5AA0"/>
          <w:sz w:val="28"/>
          <w:szCs w:val="28"/>
        </w:rPr>
        <w:t xml:space="preserve">Opdracht 19.2 — Waar zit het risico? (15 min, tweetallen)</w:t>
      </w:r>
    </w:p>
    <w:p>
      <w:pPr>
        <w:spacing w:after="140" w:line="300"/>
      </w:pPr>
      <w:r>
        <w:rPr>
          <w:rFonts w:ascii="Calibri" w:cs="Calibri" w:eastAsia="Calibri" w:hAnsi="Calibri"/>
          <w:sz w:val="22"/>
          <w:szCs w:val="22"/>
        </w:rPr>
        <w:t xml:space="preserve">Voor elke overgang tussen stappen in de keten: bedenk één concreet risico dat zich daar zou kunnen voordoen (niet in de stap zelf).</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Bijvoorbeeld: overgang 2→3 (BTX naar configuratie): een BTX wordt aangemaakt maar de juiste productconfiguratie wordt niet correct toegepast. Overgang 4→6 (organisatietoewijzing naar output): een verouderde determinatieregel stuurt de bevestiging naar het verkeerde team (↗ deel 17 §6). Overgang 6→7 (output naar financiële schaduw): de bevestiging wordt verstuurd, maar de premie-incasso start met vertraging of helemaal niet.</w:t>
            </w:r>
          </w:p>
        </w:tc>
      </w:tr>
    </w:tbl>
    <w:p>
      <w:pPr>
        <w:pStyle w:val="Heading2"/>
        <w:spacing w:after="120" w:before="200"/>
      </w:pPr>
      <w:r>
        <w:rPr>
          <w:rFonts w:ascii="Georgia" w:cs="Georgia" w:eastAsia="Georgia" w:hAnsi="Georgia"/>
          <w:b/>
          <w:bCs/>
          <w:color w:val="2C5AA0"/>
          <w:sz w:val="28"/>
          <w:szCs w:val="28"/>
        </w:rPr>
        <w:t xml:space="preserve">Opdracht 19.3 — Bevinding T7 herkennen (15 min, individueel)</w:t>
      </w:r>
    </w:p>
    <w:p>
      <w:pPr>
        <w:spacing w:after="140" w:line="300"/>
      </w:pPr>
      <w:r>
        <w:rPr>
          <w:rFonts w:ascii="Calibri" w:cs="Calibri" w:eastAsia="Calibri" w:hAnsi="Calibri"/>
          <w:sz w:val="22"/>
          <w:szCs w:val="22"/>
        </w:rPr>
        <w:t xml:space="preserve">Leg in eigen woorden uit waarom de kernzin van reader §4 ("het risico zit in de overgangen, niet in de lagen") hetzelfde patroon is als bevinding T7 uit het WGP 2.0-dossier.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Bevinding T7: "de overdracht naar de kernadministratie is nooit end-to-end getest; beide partijen testten tot hun eigen grens." Dat is precies een overgang tussen twee componenten (WGP en de kernadministratie) die niemand als geheel testte — analoog aan de overgangen tussen de zeven Order-to-Cash-stappen hier.</w:t>
            </w:r>
          </w:p>
        </w:tc>
      </w:tr>
    </w:tbl>
    <w:p>
      <w:pPr>
        <w:pStyle w:val="Heading2"/>
        <w:spacing w:after="120" w:before="200"/>
      </w:pPr>
      <w:r>
        <w:rPr>
          <w:rFonts w:ascii="Georgia" w:cs="Georgia" w:eastAsia="Georgia" w:hAnsi="Georgia"/>
          <w:b/>
          <w:bCs/>
          <w:color w:val="2C5AA0"/>
          <w:sz w:val="28"/>
          <w:szCs w:val="28"/>
        </w:rPr>
        <w:t xml:space="preserve">Opdracht 19.4 — Een ketentest schetsen (20 min, groepjes van drie)</w:t>
      </w:r>
    </w:p>
    <w:p>
      <w:pPr>
        <w:spacing w:after="140" w:line="300"/>
      </w:pPr>
      <w:r>
        <w:rPr>
          <w:rFonts w:ascii="Calibri" w:cs="Calibri" w:eastAsia="Calibri" w:hAnsi="Calibri"/>
          <w:sz w:val="22"/>
          <w:szCs w:val="22"/>
        </w:rPr>
        <w:t xml:space="preserve">Schets, met reader §5 als uitgangspunt, wat een end-to-end ketentest van dit Order-to-Cash-proces zou moeten dekken. Noem minstens drie specifieke overgangen die expliciet getest zouden moeten worden.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Minimaal: BTX→configuratie, organisatietoewijzing→output, output→financiële schaduw (zie opdracht 19.2 voor concrete voorbeelden per overgang). Nabespreking: benadruk dat dit een BA-perspectief is (wát moet getest worden), niet een uitgewerkt testplan — dat is het vak van de zustercursus.</w:t>
            </w:r>
          </w:p>
        </w:tc>
      </w:tr>
    </w:tbl>
    <w:p>
      <w:pPr>
        <w:pStyle w:val="Heading2"/>
        <w:spacing w:after="120" w:before="200"/>
      </w:pPr>
      <w:r>
        <w:rPr>
          <w:rFonts w:ascii="Georgia" w:cs="Georgia" w:eastAsia="Georgia" w:hAnsi="Georgia"/>
          <w:b/>
          <w:bCs/>
          <w:color w:val="2C5AA0"/>
          <w:sz w:val="28"/>
          <w:szCs w:val="28"/>
        </w:rPr>
        <w:t xml:space="preserve">Opdracht 19.5 — Je eigen end-to-end keten (10 min, individueel, huiswerk)</w:t>
      </w:r>
    </w:p>
    <w:p>
      <w:pPr>
        <w:spacing w:after="140" w:line="300"/>
      </w:pPr>
      <w:r>
        <w:rPr>
          <w:rFonts w:ascii="Calibri" w:cs="Calibri" w:eastAsia="Calibri" w:hAnsi="Calibri"/>
          <w:sz w:val="22"/>
          <w:szCs w:val="22"/>
        </w:rPr>
        <w:t xml:space="preserve">Beschrijf een proces uit je eigen werk (kan buiten SAP) als een keten van minstens vier stappen, en benoem welke overgang daarin het meest risicovol lijkt.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Waar zit het risico in een keten van meerdere lagen typisch, volgens dit deel? A. Altijd in de eerste stap. B. Vaker in de overgangen tussen stappen dan in de stappen zelf. C. Nooit in overgangen. D. Alleen in de laatste stap. 2. Welk deel levert de onderliggende laag voor "BTX New Business" in de Order-to-Cash-keten? A. Deel 15. B. Deel 11. C. Deel 18. D. Deel 17. 3. Wat is bevinding T7 uit het WGP 2.0-dossier? A. Een verkeerd exitcriterium. B. De overdracht tussen twee componenten werd nooit end-to-end getest. C. Ontbrekende testdata. D. Geen review op het ontwerp. 4. Wat is het verband tussen dit deel en bevinding T7? A. Geen verband. B. Beide illustreren dat risico's vaak in overgangen tussen componenten/stappen zitten. C. T7 gaat over iets heel anders. D. Dit deel vervangt T7. 5. Wat dekt een goede end-to-end ketentest, volgens dit deel? A. Alleen de eerste en laatste stap. B. Elke stap én expliciet de overgangen ertussen. C. Alleen de financiële schaduw. D. Niets, testen is geen BA-taak. 6. Wat levert de onderliggende laag voor "organisatietoewijzing" in de keten? A. Deel 11. B. Deel 17. C. Deel 15. D. Deel 16. 7. Wat levert de onderliggende laag voor de "financiële schaduw"-stap? A. Deel 18. B. Deel 15. C. Deel 12. D. Deel 17. 8. Waarom brengt dit deel geen nieuwe concepten? A. Het is een fout in de cursus. B. Het is bewust een synthesedeel dat deel 11-18 samenbrengt. C. Er is niets meer te leren over FS-PM. D. Nieuwe concepten komen pas in niveau 3. 9. Wat is het doel van opdracht 19.2 in dit deel? A. Een technisch testplan schrijven. B. Vanuit BA-perspectief risico's in overgangen identificeren. C. De configuratie zelf aanpassen. D. Een certificeringsvraag beantwoorden. 10. Waar komt hetzelfde end-to-end perspectief in niveau 2 nog een keer terug? A. Nergens meer. B. Deel 20, toegepast op FS-CM (Claims-to-Payment). C. Alleen in niveau 3. D. Alleen in de zustercursus.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2026-08-16T20:12:51.186Z</dcterms:created>
  <dcterms:modified xsi:type="dcterms:W3CDTF">2026-08-16T20:12:51.186Z</dcterms:modified>
</cp:coreProperties>
</file>

<file path=docProps/custom.xml><?xml version="1.0" encoding="utf-8"?>
<Properties xmlns="http://schemas.openxmlformats.org/officeDocument/2006/custom-properties" xmlns:vt="http://schemas.openxmlformats.org/officeDocument/2006/docPropsVTypes"/>
</file>