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B2A4A"/>
          <w:sz w:val="44"/>
          <w:szCs w:val="44"/>
        </w:rPr>
        <w:t xml:space="preserve">Deel 20 — Case: Claims-to-Payment ontleed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C5AA0"/>
          <w:sz w:val="22"/>
          <w:szCs w:val="22"/>
        </w:rPr>
        <w:t xml:space="preserve">Reader · Niveau 2 Professional · Cursus SAP voor Business Analysts · Ductus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Leerdoelen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Na dit deel kun je: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het volledige Claims-to-Payment-proces end-to-end beschrijven, van melding tot uitkeringsboeking;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bij elke processtap aanwijzen welk deel uit 13-18 daar de onderliggende laag vormt;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 overgangen in dit proces vergelijken met die uit Order-to-Cash (deel 19) — waar lijken de risico's op elkaar, waar niet;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beoordelen waarom Claims-to-Payment, zonder bestaand precedent (↗ deel 13 §1), extra aandacht vergt bij het ontwerpen van de overgangen;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een eigen end-to-end analyse opstellen voor een fictief schadeproces-scenario.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Studielast: één dagdeel klassikaal, circa drie uur zelfstudie.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1. Dezelfde vraag, ander proces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Waar deel 19 Order-to-Cash ontleedde met acht bekende lagen als bouwstenen, herhaalt dit deel diezelfde vraag voor FS-CM: van melding tot uitkering, wat is de keten, en waar zitten de overgangen? Het verschil: bij FS-CM is er geen bestaand Panorama-precedent (↗ deel 13 §1) om als ijkpunt te gebruiken — de keten moet grotendeels vanuit het niets ontworpen worden.</w:t>
      </w:r>
    </w:p>
    <w:p>
      <w:pPr>
        <w:spacing w:after="80" w:before="160"/>
        <w:jc w:val="center"/>
      </w:pPr>
      <w:r>
        <w:drawing>
          <wp:inline distT="0" distB="0" distL="0" distR="0">
            <wp:extent cx="5334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[FIGUUR 20-1] Claims-to-Payment als lijn, symmetrisch aan figuur 19-1, met een aantekening: "geen precedent — elke stap vergt een eigen ontwerpkeuze."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2. Waarow dit voor de BA telt</w:t>
      </w:r>
    </w:p>
    <w:tbl>
      <w:tblPr>
        <w:tblW w:type="pct" w:w="100%"/>
        <w:tblBorders>
          <w:top w:val="single" w:color="D99A3D" w:sz="24"/>
          <w:left w:val="none" w:color="FFFFFF" w:sz="0"/>
          <w:bottom w:val="single" w:color="D99A3D" w:sz="24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7" w:color="auto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1B2A4A"/>
                <w:sz w:val="26"/>
                <w:szCs w:val="26"/>
              </w:rPr>
              <w:t xml:space="preserve">Waarom dit voor de BA telt. Waar bij Order-to-Cash bekende lagen alleen samengevoegd hoefden te worden, vergt Claims-to-Payment dat een BA de keten zelf mede construeert. Dat is een zwaardere, ontwerpende vorm van dezelfde vaardigheid.</w:t>
            </w:r>
          </w:p>
        </w:tc>
      </w:tr>
    </w:tbl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3. Claims-to-Payment, stap voor stap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Stap</w:t>
            </w:r>
          </w:p>
        </w:tc>
        <w:tc>
          <w:tcPr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Wat gebeurt er</w:t>
            </w:r>
          </w:p>
        </w:tc>
        <w:tc>
          <w:tcPr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Onderliggende laag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 Melding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Een polishouder meldt een gebeurtenis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Deel 13 §3.1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2. Registratie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Claim-object wordt vastgelegd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Deel 13 §3.2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 Eerste beoordeling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Compleetheid en polis-koppeling worden gecontroleerd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Deel 13 §3.3, deel 4 (stamgegevens)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4. Dekkingsbeoordeling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Getoetst aan de FS-PM-polis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Deel 13 §4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5. Fraude-signalering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Patroonherkenning als doorlopende laag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Deel 14 §5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6. Goedkeuring/statuswijziging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Statusmodel wordt doorlopen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Deel 16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7. Uitkering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Via FS-CD naar Accounting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Deel 14 §3, deel 15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8. Bevestigingsoutput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Notificatie naar polishouder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Deel 18</w:t>
            </w:r>
          </w:p>
        </w:tc>
      </w:tr>
    </w:tbl>
    <w:p>
      <w:pPr>
        <w:spacing w:after="80" w:before="160"/>
        <w:jc w:val="center"/>
      </w:pPr>
      <w:r>
        <w:drawing>
          <wp:inline distT="0" distB="0" distL="0" distR="0">
            <wp:extent cx="5334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[FIGUUR 20-2] De acht stappen als keten, met fraude-signalering als laag over stap 3-6 getekend in plaats van als losse stap — vergelijk met figuur 14-3.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4. Vergelijking met Order-to-Cash: waar lijken de risico's, waar niet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Overeenkomst: net als bij Order-to-Cash zit het risico vooral in overgangen, niet in de stappen zelf. Verschil: de overgang tussen stap 3-4 (eerste beoordeling → dekkingsbeoordeling) is bij Claims-to-Payment risicovoller dan enige vergelijkbare overgang bij Order-to-Cash, omdat hier een cross-modulekoppeling plaatsvindt (FS-CM raadpleegt FS-PM) die bij Order-to-Cash niet nodig was — Order-to-Cash bleef grotendeels binnen FS-PM zelf.</w:t>
      </w:r>
    </w:p>
    <w:tbl>
      <w:tblPr>
        <w:tblW w:type="pct" w:w="100%"/>
        <w:tblBorders>
          <w:top w:val="single" w:color="D99A3D" w:sz="24"/>
          <w:left w:val="none" w:color="FFFFFF" w:sz="0"/>
          <w:bottom w:val="single" w:color="D99A3D" w:sz="24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7" w:color="auto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1B2A4A"/>
                <w:sz w:val="26"/>
                <w:szCs w:val="26"/>
              </w:rPr>
              <w:t xml:space="preserve">Kernzin — Een overgang tussen twee modules (FS-CM naar FS-PM) draagt een extra risicolaag ten opzichte van een overgang binnen één module: niet alleen "is de volgende stap correct getriggerd," maar ook "is de juiste, actuele informatie uit de andere module daadwerkelijk opgehaald" (↗ deel 13 §4, deel 4).</w:t>
            </w:r>
          </w:p>
        </w:tc>
      </w:tr>
    </w:tbl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5. Waarom dit precedentloze proces extra zorgvuldigheid vergt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Bij Order-to-Cash kon een fit-gap-analyse leunen op wat Panorama al deed. Bij Claims-to-Payment moet elke stap in de keten hierboven zelf beargumenteerd worden: waarom deze volgorde, waarom deze overgang hier en niet ergens anders. Dit is precies waarom deel 21 (Ketenintegratie) volgt op dit deel — nog voordat de FS-PM/FS-CM-keten definitief is vastgelegd, moet worden gekeken naar hoe zij elkaar op meer plekken raken dan alleen bij dekkingsbeoordeling.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6. Kruisverwijzingen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↗ Deel 13-14, deel 16, deel 18: elke laag van deze keten in detail.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↗ Deel 19: de vergelijkbare analyse voor FS-PM (Order-to-Cash).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↗ Deel 21: Ketenintegratie — waar FS-PM en FS-CM elkaar op meerdere plekken raken.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Kernbegrippen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Claims-to-Payment · cross-modulekoppeling · precedentloos procesontwerp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Samenvatting in vijf zinnen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Claims-to-Payment brengt de FS-CM-lagen (deel 13-14, 16, 18) samen in één keten, van melding tot uitkering.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Zonder bestaand precedent moet deze keten grotendeels zelf ontworpen worden, in plaats van alleen samengevoegd.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Net als bij Order-to-Cash zit het risico vooral in overgangen, niet in de stappen zelf.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 overgang tussen eerste beoordeling en dekkingsbeoordeling is extra risicovol door de cross-modulekoppeling met FS-PM.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Dit precedentloze karakter vraagt om extra zorgvuldigheid, en vormt de directe aanleiding voor deel 21.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AA0" w:sz="6" w:space="4"/>
      </w:pBdr>
      <w:jc w:val="right"/>
    </w:pPr>
    <w:r>
      <w:rPr>
        <w:rFonts w:ascii="Calibri" w:cs="Calibri" w:eastAsia="Calibri" w:hAnsi="Calibri"/>
        <w:color w:val="2C5AA0"/>
        <w:sz w:val="16"/>
        <w:szCs w:val="16"/>
      </w:rPr>
      <w:t xml:space="preserve">SAP voor Business Analysts · Niveau 2 Professional · Deel 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89e18c1603d132db7721b358e7dab3ef3af9648.png"/><Relationship Id="rId10" Type="http://schemas.openxmlformats.org/officeDocument/2006/relationships/image" Target="media/e735447c82e68dd663fc96bf36faa9f04837da8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2026-08-16T20:12:52.110Z</dcterms:created>
  <dcterms:modified xsi:type="dcterms:W3CDTF">2026-08-16T20:12:52.110Z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