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20 — Case: Claims-to-Payment ontleed</w:t>
      </w:r>
    </w:p>
    <w:p>
      <w:pPr>
        <w:spacing w:after="300"/>
      </w:pPr>
      <w:r>
        <w:rPr>
          <w:rFonts w:ascii="Calibri" w:cs="Calibri" w:eastAsia="Calibri" w:hAnsi="Calibri"/>
          <w:i/>
          <w:iCs/>
          <w:color w:val="2C5AA0"/>
          <w:sz w:val="22"/>
          <w:szCs w:val="22"/>
        </w:rPr>
        <w:t xml:space="preserve">Werkboek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Opdracht 20.1 — De keten koppelen (15 min, individueel)</w:t>
      </w:r>
    </w:p>
    <w:p>
      <w:pPr>
        <w:spacing w:after="140" w:line="300"/>
      </w:pPr>
      <w:r>
        <w:rPr>
          <w:rFonts w:ascii="Calibri" w:cs="Calibri" w:eastAsia="Calibri" w:hAnsi="Calibri"/>
          <w:sz w:val="22"/>
          <w:szCs w:val="22"/>
        </w:rPr>
        <w:t xml:space="preserve">Koppel elke stap uit Claims-to-Payment (reader §3) aan het deel waaruit de onderliggende stof komt, zonder in de reader te kijken.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Zie tabel reader §3: 1→13§3.1, 2→13§3.2, 3→13§3.3+deel4, 4→13§4, 5→14§5, 6→deel16, 7→14§3+deel15, 8→deel18.</w:t>
            </w:r>
          </w:p>
        </w:tc>
      </w:tr>
    </w:tbl>
    <w:p>
      <w:pPr>
        <w:pStyle w:val="Heading2"/>
        <w:spacing w:after="120" w:before="200"/>
      </w:pPr>
      <w:r>
        <w:rPr>
          <w:rFonts w:ascii="Georgia" w:cs="Georgia" w:eastAsia="Georgia" w:hAnsi="Georgia"/>
          <w:b/>
          <w:bCs/>
          <w:color w:val="2C5AA0"/>
          <w:sz w:val="28"/>
          <w:szCs w:val="28"/>
        </w:rPr>
        <w:t xml:space="preserve">Opdracht 20.2 — Cross-modulekoppeling herkennen (15 min, tweetallen)</w:t>
      </w:r>
    </w:p>
    <w:p>
      <w:pPr>
        <w:spacing w:after="140" w:line="300"/>
      </w:pPr>
      <w:r>
        <w:rPr>
          <w:rFonts w:ascii="Calibri" w:cs="Calibri" w:eastAsia="Calibri" w:hAnsi="Calibri"/>
          <w:sz w:val="22"/>
          <w:szCs w:val="22"/>
        </w:rPr>
        <w:t xml:space="preserve">Leg uit waarom de overgang stap 3→4 (eerste beoordeling → dekkingsbeoordeling) risicovoller is dan een vergelijkbare overgang binnen Order-to-Cash (deel 19). Gebruik reader §4.</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Deze overgang vergt dat FS-CM actuele gegevens uit FS-PM ophaalt — een cross-modulekoppeling. Dit draagt een extra risicolaag: niet alleen of de volgende stap correct wordt getriggerd, maar ook of de juiste, actuele polisinformatie daadwerkelijk wordt opgehaald. Order-to-Cash-overgangen bleven grotendeels binnen FS-PM zelf en misten deze extra laag.</w:t>
            </w:r>
          </w:p>
        </w:tc>
      </w:tr>
    </w:tbl>
    <w:p>
      <w:pPr>
        <w:pStyle w:val="Heading2"/>
        <w:spacing w:after="120" w:before="200"/>
      </w:pPr>
      <w:r>
        <w:rPr>
          <w:rFonts w:ascii="Georgia" w:cs="Georgia" w:eastAsia="Georgia" w:hAnsi="Georgia"/>
          <w:b/>
          <w:bCs/>
          <w:color w:val="2C5AA0"/>
          <w:sz w:val="28"/>
          <w:szCs w:val="28"/>
        </w:rPr>
        <w:t xml:space="preserve">Opdracht 20.3 — Vergelijk beide ketens (20 min, groepjes van drie)</w:t>
      </w:r>
    </w:p>
    <w:p>
      <w:pPr>
        <w:spacing w:after="140" w:line="300"/>
      </w:pPr>
      <w:r>
        <w:rPr>
          <w:rFonts w:ascii="Calibri" w:cs="Calibri" w:eastAsia="Calibri" w:hAnsi="Calibri"/>
          <w:sz w:val="22"/>
          <w:szCs w:val="22"/>
        </w:rPr>
        <w:t xml:space="preserve">Leg de figuren 19-2 en 20-2 naast elkaar (of teken ze allebei). Benoem twee overeenkomsten en twee verschillen tussen Order-to-Cash en Claims-to-Payment.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Overeenkomsten: beide zijn ketens van meerdere stappen; in beide zit het risico vooral in overgangen. Verschillen: Claims-to-Payment heeft geen precedent en vergt eigen ontwerp; Claims-to-Payment bevat een expliciete cross-modulekoppeling (FS-CM→FS-PM) die Order-to-Cash niet kent op dezelfde manier.</w:t>
            </w:r>
          </w:p>
        </w:tc>
      </w:tr>
    </w:tbl>
    <w:p>
      <w:pPr>
        <w:pStyle w:val="Heading2"/>
        <w:spacing w:after="120" w:before="200"/>
      </w:pPr>
      <w:r>
        <w:rPr>
          <w:rFonts w:ascii="Georgia" w:cs="Georgia" w:eastAsia="Georgia" w:hAnsi="Georgia"/>
          <w:b/>
          <w:bCs/>
          <w:color w:val="2C5AA0"/>
          <w:sz w:val="28"/>
          <w:szCs w:val="28"/>
        </w:rPr>
        <w:t xml:space="preserve">Opdracht 20.4 — Waarom nu deel 21? (10 min, individueel)</w:t>
      </w:r>
    </w:p>
    <w:p>
      <w:pPr>
        <w:spacing w:after="140" w:line="300"/>
      </w:pPr>
      <w:r>
        <w:rPr>
          <w:rFonts w:ascii="Calibri" w:cs="Calibri" w:eastAsia="Calibri" w:hAnsi="Calibri"/>
          <w:sz w:val="22"/>
          <w:szCs w:val="22"/>
        </w:rPr>
        <w:t xml:space="preserve">Leg met reader §5 uit waarom Ketenintegratie (deel 21) logisch volgt op dit deel, en niet bijvoorbeeld al na deel 14.</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Pas met het volledige end-to-end-overzicht van zowel Order-to-Cash (deel 19) als Claims-to-Payment (dit deel) wordt zichtbaar op hoeveel plekken FS-PM en FS-CM elkaar daadwerkelijk raken — vóór deze twee delen was die informatie nog verspreid over losse lagen.</w:t>
            </w:r>
          </w:p>
        </w:tc>
      </w:tr>
    </w:tbl>
    <w:p>
      <w:pPr>
        <w:pStyle w:val="Heading2"/>
        <w:spacing w:after="120" w:before="200"/>
      </w:pPr>
      <w:r>
        <w:rPr>
          <w:rFonts w:ascii="Georgia" w:cs="Georgia" w:eastAsia="Georgia" w:hAnsi="Georgia"/>
          <w:b/>
          <w:bCs/>
          <w:color w:val="2C5AA0"/>
          <w:sz w:val="28"/>
          <w:szCs w:val="28"/>
        </w:rPr>
        <w:t xml:space="preserve">Opdracht 20.5 — Je eigen precedentloze keten (10 min, individueel, huiswerk)</w:t>
      </w:r>
    </w:p>
    <w:p>
      <w:pPr>
        <w:spacing w:after="140" w:line="300"/>
      </w:pPr>
      <w:r>
        <w:rPr>
          <w:rFonts w:ascii="Calibri" w:cs="Calibri" w:eastAsia="Calibri" w:hAnsi="Calibri"/>
          <w:sz w:val="22"/>
          <w:szCs w:val="22"/>
        </w:rPr>
        <w:t xml:space="preserve">Bedenk een keten uit je eigen werk die (net als Claims-to-Payment) geen bestaand precedent had toen hij werd ingericht. Welke overgang was daarin het lastigst te ontwerpen?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het belangrijkste verschil tussen dit deel en deel 19? A. Geen verschil. B. Claims-to-Payment heeft geen bestaand precedent en vergt eigen ontwerp. C. Dit deel gaat over FS-PM. D. Dit deel bevat geen keten. 2. Welke stap levert de onderliggende laag uit deel 13 §3.1? A. Uitkering. B. Melding. C. Bevestigingsoutput. D. Fraude-signalering. 3. Waarom is de overgang eerste beoordeling → dekkingsbeoordeling extra risicovol? A. Geen reden. B. Een cross-modulekoppeling met FS-PM is nodig. C. Deze overgang bestaat niet. D. Omdat er geen documentflow is. 4. Wat is een cross-modulekoppeling? A. Een type BTX. B. Een koppeling tussen twee aparte modules, zoals FS-CM en FS-PM. C. Een rapportagetool. D. Een testmethode. 5. Waar wordt fraude-signalering getekend in de keten (figuur 20-2)? A. Als losse, aparte stap. B. Als doorlopende laag over meerdere stappen. C. Helemaal niet. D. Alleen aan het eind. 6. Wat is een overeenkomst tussen Order-to-Cash en Claims-to-Payment? A. Beide hebben een precedent. B. In beide zit het risico vooral in overgangen, niet in de stappen zelf. C. Geen enkele overeenkomst. D. Beide bevatten geen financiële schaduw. 7. Waarom volgt deel 21 (Ketenintegratie) logisch op dit deel? A. Toeval. B. Pas met beide end-to-end-overzichten samen wordt zichtbaar waar FS-PM en FS-CM elkaar raken. C. Deel 21 gaat over iets heel anders. D. Deel 21 vervangt dit deel. 8. Welke stap levert de laag uit deel 15? A. Melding. B. Uitkering (via FS-CD naar Accounting). C. Registratie. D. Fraude-signalering. 9. Wat vergt Claims-to-Payment dat Order-to-Cash niet in dezelfde mate vergde? A. Niets. B. Zelf ontwerpen van de keten, zonder bestaand precedent. C. Minder BA-betrokkenheid. D. Geen configuratie. 10. Wat is de kernzin van reader §4? A. Overgangen zijn altijd veilig. B. Een overgang tussen twee modules draagt een extra risicolaag ten opzichte van een overgang binnen één module. C. Modules kunnen nooit met elkaar koppelen. D. FS-PM en FS-CM zijn hetzelfde systeem.</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2026-08-16T20:12:52.135Z</dcterms:created>
  <dcterms:modified xsi:type="dcterms:W3CDTF">2026-08-16T20:12:52.135Z</dcterms:modified>
</cp:coreProperties>
</file>

<file path=docProps/custom.xml><?xml version="1.0" encoding="utf-8"?>
<Properties xmlns="http://schemas.openxmlformats.org/officeDocument/2006/custom-properties" xmlns:vt="http://schemas.openxmlformats.org/officeDocument/2006/docPropsVTypes"/>
</file>