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21 — Ketenintegratie: polis, claim en financiën samen</w:t>
      </w:r>
    </w:p>
    <w:p>
      <w:pPr>
        <w:spacing w:after="300"/>
      </w:pPr>
      <w:r>
        <w:rPr>
          <w:rFonts w:ascii="Calibri" w:cs="Calibri" w:eastAsia="Calibri" w:hAnsi="Calibri"/>
          <w:i/>
          <w:iCs/>
          <w:color w:val="2C5AA0"/>
          <w:sz w:val="22"/>
          <w:szCs w:val="22"/>
        </w:rPr>
        <w:t xml:space="preserve">Werkboek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Opdracht 21.1 — Herken de cross-moduletrigger (10 min, individueel)</w:t>
      </w:r>
    </w:p>
    <w:p>
      <w:pPr>
        <w:spacing w:after="140" w:line="300"/>
      </w:pPr>
      <w:r>
        <w:rPr>
          <w:rFonts w:ascii="Calibri" w:cs="Calibri" w:eastAsia="Calibri" w:hAnsi="Calibri"/>
          <w:sz w:val="22"/>
          <w:szCs w:val="22"/>
        </w:rPr>
        <w:t xml:space="preserve">Voor elk voorbeeld: welke module triggert, en welke module reageert?</w:t>
      </w:r>
    </w:p>
    <w:p>
      <w:pPr>
        <w:pStyle w:val="ListParagraph"/>
        <w:numPr>
          <w:ilvl w:val="0"/>
          <w:numId w:val="1"/>
        </w:numPr>
        <w:spacing w:after="80"/>
      </w:pPr>
      <w:r>
        <w:rPr>
          <w:rFonts w:ascii="Calibri" w:cs="Calibri" w:eastAsia="Calibri" w:hAnsi="Calibri"/>
          <w:sz w:val="22"/>
          <w:szCs w:val="22"/>
        </w:rPr>
        <w:t xml:space="preserve">Premievrijstelling na een goedgekeurde arbeidsongeschiktheidsclaim.</w:t>
      </w:r>
    </w:p>
    <w:p>
      <w:pPr>
        <w:pStyle w:val="ListParagraph"/>
        <w:numPr>
          <w:ilvl w:val="0"/>
          <w:numId w:val="1"/>
        </w:numPr>
        <w:spacing w:after="80"/>
      </w:pPr>
      <w:r>
        <w:rPr>
          <w:rFonts w:ascii="Calibri" w:cs="Calibri" w:eastAsia="Calibri" w:hAnsi="Calibri"/>
          <w:sz w:val="22"/>
          <w:szCs w:val="22"/>
        </w:rPr>
        <w:t xml:space="preserve">Een claim-limiet-beoordeling gebaseerd op eerdere claims op dezelfde polis.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FS-CM triggert (claim goedgekeurd), FS-PM reageert (premie aangepast). b. FS-PM/polishistorie levert input, FS-CM gebruikt die in de beoordeling — hier is de "trigger" eerder de claim zelf, met FS-PM als informatiebron.</w:t>
            </w:r>
          </w:p>
        </w:tc>
      </w:tr>
    </w:tbl>
    <w:p>
      <w:pPr>
        <w:pStyle w:val="Heading2"/>
        <w:spacing w:after="120" w:before="200"/>
      </w:pPr>
      <w:r>
        <w:rPr>
          <w:rFonts w:ascii="Georgia" w:cs="Georgia" w:eastAsia="Georgia" w:hAnsi="Georgia"/>
          <w:b/>
          <w:bCs/>
          <w:color w:val="2C5AA0"/>
          <w:sz w:val="28"/>
          <w:szCs w:val="28"/>
        </w:rPr>
        <w:t xml:space="preserve">Opdracht 21.2 — Een wens herkennen als ketenintegratie (10 min, individueel)</w:t>
      </w:r>
    </w:p>
    <w:p>
      <w:pPr>
        <w:spacing w:after="140" w:line="300"/>
      </w:pPr>
      <w:r>
        <w:rPr>
          <w:rFonts w:ascii="Calibri" w:cs="Calibri" w:eastAsia="Calibri" w:hAnsi="Calibri"/>
          <w:sz w:val="22"/>
          <w:szCs w:val="22"/>
        </w:rPr>
        <w:t xml:space="preserve">Marijke vraagt: "kunnen we automatisch een waarschuwing tonen als iemand een claim indient op een polis die volgende maand afloopt?" Is dit een FS-PM-wens, een FS-CM-wens, of een ketenintegratie-wens? Gebruik de vuistregel uit reader §6.</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Ketenintegratie-wens — het antwoord hangt af van de FS-PM-polisstatus (afloopdatum) én de FS-CM-claiminvoer, en beide moeten met elkaar worden vergeleken op het moment van claim-indiening.</w:t>
            </w:r>
          </w:p>
        </w:tc>
      </w:tr>
    </w:tbl>
    <w:p>
      <w:pPr>
        <w:pStyle w:val="Heading2"/>
        <w:spacing w:after="120" w:before="200"/>
      </w:pPr>
      <w:r>
        <w:rPr>
          <w:rFonts w:ascii="Georgia" w:cs="Georgia" w:eastAsia="Georgia" w:hAnsi="Georgia"/>
          <w:b/>
          <w:bCs/>
          <w:color w:val="2C5AA0"/>
          <w:sz w:val="28"/>
          <w:szCs w:val="28"/>
        </w:rPr>
        <w:t xml:space="preserve">Opdracht 21.3 — Beide IFRS17/FPSL-lenzen toepassen (20 min, groepjes van drie)</w:t>
      </w:r>
    </w:p>
    <w:p>
      <w:pPr>
        <w:spacing w:after="140" w:line="300"/>
      </w:pPr>
      <w:r>
        <w:rPr>
          <w:rFonts w:ascii="Calibri" w:cs="Calibri" w:eastAsia="Calibri" w:hAnsi="Calibri"/>
          <w:sz w:val="22"/>
          <w:szCs w:val="22"/>
        </w:rPr>
        <w:t xml:space="preserve">Pas voor premievrijstelling beide lenzen toe: (1) wat verandert er in de boeking (deel 15 §6), en (2) wat verandert er in de rapportagevraag (dit deel §5)?</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(1) De boeking: geen premie-inkomsten worden geboekt zolang de vrijstelling loopt — een aanpassing van het reguliere incassopatroon. (2) De rapportagevraag: de "verwachte toekomstige premie-inkomsten" van deze polis moeten voor de periode van vrijstelling anders worden gerapporteerd, wat relevant kan zijn voor hoe finance en een toezichthouder-achtige rol de portefeuillewaarde beoordelen.</w:t>
            </w:r>
          </w:p>
        </w:tc>
      </w:tr>
    </w:tbl>
    <w:p>
      <w:pPr>
        <w:pStyle w:val="Heading2"/>
        <w:spacing w:after="120" w:before="200"/>
      </w:pPr>
      <w:r>
        <w:rPr>
          <w:rFonts w:ascii="Georgia" w:cs="Georgia" w:eastAsia="Georgia" w:hAnsi="Georgia"/>
          <w:b/>
          <w:bCs/>
          <w:color w:val="2C5AA0"/>
          <w:sz w:val="28"/>
          <w:szCs w:val="28"/>
        </w:rPr>
        <w:t xml:space="preserve">Opdracht 21.4 — Checklist voor de capstone (15 min, individueel)</w:t>
      </w:r>
    </w:p>
    <w:p>
      <w:pPr>
        <w:spacing w:after="140" w:line="300"/>
      </w:pPr>
      <w:r>
        <w:rPr>
          <w:rFonts w:ascii="Calibri" w:cs="Calibri" w:eastAsia="Calibri" w:hAnsi="Calibri"/>
          <w:sz w:val="22"/>
          <w:szCs w:val="22"/>
        </w:rPr>
        <w:t xml:space="preserve">Bekijk de drie voorbeelden uit reader §4. Kies er één en beschrijf kort hoe je dit zou meenemen in een nieuw productontwerp voor de capstone (deel 22).</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doel is de checklist actief te oefenen vóór de capstone. Bespreek in de nabespreking welke van de drie voorbeelden deelnemers het meest relevant vinden voor een fictief nieuw Meridiaan-product.</w:t>
            </w:r>
          </w:p>
        </w:tc>
      </w:tr>
    </w:tbl>
    <w:p>
      <w:pPr>
        <w:pStyle w:val="Heading2"/>
        <w:spacing w:after="120" w:before="200"/>
      </w:pPr>
      <w:r>
        <w:rPr>
          <w:rFonts w:ascii="Georgia" w:cs="Georgia" w:eastAsia="Georgia" w:hAnsi="Georgia"/>
          <w:b/>
          <w:bCs/>
          <w:color w:val="2C5AA0"/>
          <w:sz w:val="28"/>
          <w:szCs w:val="28"/>
        </w:rPr>
        <w:t xml:space="preserve">Opdracht 21.5 — Je eigen cross-modulewens (10 min, individueel, huiswerk)</w:t>
      </w:r>
    </w:p>
    <w:p>
      <w:pPr>
        <w:spacing w:after="140" w:line="300"/>
      </w:pPr>
      <w:r>
        <w:rPr>
          <w:rFonts w:ascii="Calibri" w:cs="Calibri" w:eastAsia="Calibri" w:hAnsi="Calibri"/>
          <w:sz w:val="22"/>
          <w:szCs w:val="22"/>
        </w:rPr>
        <w:t xml:space="preserve">Bedenk een wens uit je eigen werk (kan buiten SAP) die begint als een simpele vraag maar bij nader inzien een raakvlak tussen twee systemen of processen blijkt te zijn.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premievrijstelling? A. Een type BTX zonder relatie tot claims. B. Een regel waarbij een goedgekeurde claim een premie-aanpassing op de polis triggert. C. Een fraudetype. D. Een testmethode. 2. Wat maakt een cross-modulebedrijfsregel anders dan een gewone bedrijfsregel? A. Niets. B. Trigger en actie liggen in twee verschillende modules en moeten beide expliciet worden vastgelegd. C. Cross-moduleregels bestaan niet in FS-PM/FS-CM. D. Ze zijn altijd eenvoudiger. 3. Noem één ander voorbeeld van een raakvlak tussen FS-PM en FS-CM naast premievrijstelling. A. Documentflow binnen één polis. B. Claim-limiet gebaseerd op polishistorie, of polisbeëindiging met openstaande claim. C. Transactiecodes. D. Sandbox-navigatie. 4. Wat vraagt de tweede IFRS17/FPSL-lens? A. Wat verandert er in de boeking. B. Wat verandert er in de rapportagevraag van business en toezichthouders. C. Niets nieuws t.o.v. de eerste lens. D. Alleen actuariële details. 5. Wat is de vuistregel om een ketenintegratie-wens te herkennen? A. "Dit kost meer dan €10.000." B. "Dat hangt af van wat er in de andere module gebeurt." C. "Dit is een BTX." D. "Dit staat in de sandbox." 6. Waarom is de derde IFRS17/FPSL-behandeling (deel 27) een samenvatting? A. Er is niets meer te zeggen. B. Het brengt de eerste (deel 15) en tweede (dit deel) lens samen op BA-niveau. C. Deel 27 introduceert een derde, nieuwe lens. D. Deel 27 gaat niet over IFRS17. 7. Wat gebeurt er als een cross-moduleaspect wordt gemist in een fit-gap-analyse? A. Niets, het maakt geen verschil. B. De inschatting is onvolledig. C. Het systeem corrigeert dit automatisch. D. Dit kan technisch niet gebeuren. 8. Waarom is dit deel relevant vóór de capstone (deel 22)? A. Geen verband. B. De capstone vraagt een volledig productontwerp, waarbij cross-moduleaspecten bewust moeten worden meegenomen. C. Deel 22 gaat niet over FS-PM/FS-CM. D. De capstone test alleen niveau 1-stof. 9. Wat triggert bij premievrijstelling, en wat reageert? A. FS-PM triggert, FS-CM reageert. B. FS-CM triggert (claim goedgekeurd), FS-PM reageert (premie aangepast). C. Geen van beide, dit is een BTS-aangelegenheid. D. Beide triggeren tegelijk zonder volgorde. 10. Wat is het risico van alleen binnen één module denken, volgens dit deel? A. Geen risico. B. Systematisch missen van cross-modulebedrijfsregels die vaak juist het interessantst zijn. C. Sneller werken zonder nadeel. D. Minder configuratiewerk.</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2026-08-16T20:12:53.076Z</dcterms:created>
  <dcterms:modified xsi:type="dcterms:W3CDTF">2026-08-16T20:12:53.076Z</dcterms:modified>
</cp:coreProperties>
</file>

<file path=docProps/custom.xml><?xml version="1.0" encoding="utf-8"?>
<Properties xmlns="http://schemas.openxmlformats.org/officeDocument/2006/custom-properties" xmlns:vt="http://schemas.openxmlformats.org/officeDocument/2006/docPropsVTypes"/>
</file>