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B2A4A"/>
          <w:sz w:val="44"/>
          <w:szCs w:val="44"/>
        </w:rPr>
        <w:t xml:space="preserve">Deel 22 — Examentraining + capstone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C5AA0"/>
          <w:sz w:val="22"/>
          <w:szCs w:val="22"/>
        </w:rPr>
        <w:t xml:space="preserve">Werkboek · Niveau 2 Professional · Cursus SAP voor Business Analysts · Ductus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Deel A — Bekwaamheidstoets (40 vragen, vier per deel)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11 (FS-PM: het polisproces)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 is een BTX? 2. Noem de zes categorieën. 3. Wat is Universal Change? 4. Dialog of batch — wat is het verschil?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12 (FS-PM: configuratie)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 doet de Product Engine? 6. Wat doet TMF? 7. Wat doet BRFplus? 8. Wat doet BTS?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13 (FS-CM 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Noem de drie stappen van claim-registratie. 10. Waarom is er geen precedent? 11. Waarom kan een claim niet los van de polis worden beoordeeld? 12. FS-PM proactief, FS-CM reactief — leg uit.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14 (FS-CM II)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Via welke module loopt een uitkering? 14. Wat is regres? 15. Wat doet een BA bij fraude-signalering? 16. Waarom is fraude-signalering een laag, geen stap?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15 (Financiële schaduw)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 is de FS-CD-keten? 18. Wat is de Universal Journal? 19. Wat is account determination? 20. Wat is de eerste IFRS17/FPSL-lens?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16 (Documentflow)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 is documentflow? 22. Wat is een statusmodel? 23. Waarom staat een statusmodel niet elke overgang toe? 24. Waarmee is een statusmodel vergelijkbaar uit deel 3?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17 (Organisatiestructuur &amp; determinatie)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 is determinatie? 26. Wat was het eerste voorbeeld van determinatie? 27. Wat gebeurt er als een reorganisatie niet wordt bijgewerkt in determinatieregels? 28. Wanneer is een organisatiestructuur "af"?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18 (Status, berichten &amp; output)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 is output-management? 30. Noem de drie oorzaken van "de brief kwam nooit aan". 31. Wat voegt een goede output-requirement toe? 32. Waarom is de verzending zelf traceerbaar maken belangrijk?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19-20 (Order-to-Cash / Claims-to-Payment)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Waar zit het risico typisch in een keten? 34. Wat is bevinding T7? 35. Wat is een cross-modulekoppeling? 36. Waarom is Claims-to-Payment zwaarder dan Order-to-Cash om te ontwerpen?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21 (Ketenintegratie)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 is premievrijstelling? 38. Wat vraagt de tweede IFRS17/FPSL-lens? 39. Wat is de vuistregel om een ketenintegratie-wens te herkennen? 40. Wat is het belangrijkste dat niveau 2 je heeft geleerd, in één zin?</w:t>
      </w:r>
    </w:p>
    <w:tbl>
      <w:tblPr>
        <w:tblW w:type="pct" w:w="100%"/>
        <w:tblBorders>
          <w:top w:val="single" w:color="D99A3D" w:sz="4"/>
          <w:left w:val="single" w:color="D99A3D" w:sz="4"/>
          <w:bottom w:val="single" w:color="D99A3D" w:sz="4"/>
          <w:right w:val="single" w:color="D99A3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B2A4A" w:color="auto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UITWERKING</w:t>
            </w:r>
          </w:p>
        </w:tc>
      </w:tr>
      <w:tr>
        <w:tc>
          <w:tcPr>
            <w:shd w:fill="FBF3E7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(Antwoordsleutel (1-39))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Zie de bijbehorende reader-secties per deel voor volledige antwoorden. Nabespreking: loop de vragen door die de groep het vaakst fout beantwoordde.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Deel B — Capstone-opdracht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Voorbereiding (individueel, vooraf)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Ontwerp de zzp-arbeidsongeschiktheidsdekking volgens reader §3.1: BTX-structuur, claimbehandeling, minstens één cross-modulebedrijfsregel, IFRS17/FPSL-toets.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Verdediging (groepen van drie, vijftien minuten)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Verdedig tegen product owner, IT-architect en financeconsultant (reader §3.2). Wees voorbereid op vragen als: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*(Product owner)* "Waarom deze BTX-categorieën en niet andere? Dekt dit echt wat de zzp'er nodig heeft?"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*(IT-architect)* "Waarom hoort deze regel in BRFplus en niet in Product Engine? Wat als je het mis hebt?"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*(Financeconsultant)* "Je IFRS17-toets zegt 'geen implicatie' — ben je daar zeker van? Wat heb je over het hoofd gezien?"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Persoonlijke afsluiting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Beantwoord reader §4: wat wist je bij deel 11 nog niet, en wat is nu anders?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AA0" w:sz="6" w:space="4"/>
      </w:pBdr>
      <w:jc w:val="right"/>
    </w:pPr>
    <w:r>
      <w:rPr>
        <w:rFonts w:ascii="Calibri" w:cs="Calibri" w:eastAsia="Calibri" w:hAnsi="Calibri"/>
        <w:color w:val="2C5AA0"/>
        <w:sz w:val="16"/>
        <w:szCs w:val="16"/>
      </w:rPr>
      <w:t xml:space="preserve">SAP voor Business Analysts · Niveau 2 Professional · Deel 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2026-08-16T20:12:53.158Z</dcterms:created>
  <dcterms:modified xsi:type="dcterms:W3CDTF">2026-08-16T20:12:53.158Z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