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23 — S/4HANA for Insurance: wat verandert er</w:t>
      </w:r>
    </w:p>
    <w:p>
      <w:pPr>
        <w:spacing w:after="300"/>
      </w:pPr>
      <w:r>
        <w:rPr>
          <w:rFonts w:ascii="Calibri" w:cs="Calibri" w:eastAsia="Calibri" w:hAnsi="Calibri"/>
          <w:i/>
          <w:iCs/>
          <w:color w:val="2C5AA0"/>
          <w:sz w:val="22"/>
          <w:szCs w:val="22"/>
        </w:rPr>
        <w:t xml:space="preserve">Werkboek · Niveau 3 Expert · Cursus SAP voor Business Analysts · Ductus</w:t>
      </w:r>
    </w:p>
    <w:p>
      <w:pPr>
        <w:pStyle w:val="Heading2"/>
        <w:spacing w:after="120" w:before="200"/>
      </w:pPr>
      <w:r>
        <w:rPr>
          <w:rFonts w:ascii="Georgia" w:cs="Georgia" w:eastAsia="Georgia" w:hAnsi="Georgia"/>
          <w:b/>
          <w:bCs/>
          <w:color w:val="2C5AA0"/>
          <w:sz w:val="28"/>
          <w:szCs w:val="28"/>
        </w:rPr>
        <w:t xml:space="preserve">Opdracht 23.1 — Blijft of verandert? (15 min, individueel)</w:t>
      </w:r>
    </w:p>
    <w:p>
      <w:pPr>
        <w:spacing w:after="140" w:line="300"/>
      </w:pPr>
      <w:r>
        <w:rPr>
          <w:rFonts w:ascii="Calibri" w:cs="Calibri" w:eastAsia="Calibri" w:hAnsi="Calibri"/>
          <w:sz w:val="22"/>
          <w:szCs w:val="22"/>
        </w:rPr>
        <w:t xml:space="preserve">Categoriseer: blijft grotendeels stabiel (concept), of verandert concreet (implementatie)?</w:t>
      </w:r>
    </w:p>
    <w:p>
      <w:pPr>
        <w:pStyle w:val="ListParagraph"/>
        <w:numPr>
          <w:ilvl w:val="0"/>
          <w:numId w:val="1"/>
        </w:numPr>
        <w:spacing w:after="80"/>
      </w:pPr>
      <w:r>
        <w:rPr>
          <w:rFonts w:ascii="Calibri" w:cs="Calibri" w:eastAsia="Calibri" w:hAnsi="Calibri"/>
          <w:sz w:val="22"/>
          <w:szCs w:val="22"/>
        </w:rPr>
        <w:t xml:space="preserve">Het BTX-model met de zes categorieën.</w:t>
      </w:r>
    </w:p>
    <w:p>
      <w:pPr>
        <w:pStyle w:val="ListParagraph"/>
        <w:numPr>
          <w:ilvl w:val="0"/>
          <w:numId w:val="1"/>
        </w:numPr>
        <w:spacing w:after="80"/>
      </w:pPr>
      <w:r>
        <w:rPr>
          <w:rFonts w:ascii="Calibri" w:cs="Calibri" w:eastAsia="Calibri" w:hAnsi="Calibri"/>
          <w:sz w:val="22"/>
          <w:szCs w:val="22"/>
        </w:rPr>
        <w:t xml:space="preserve">De precieze schermen waarmee polisbeheer wordt uitgevoerd.</w:t>
      </w:r>
    </w:p>
    <w:p>
      <w:pPr>
        <w:pStyle w:val="ListParagraph"/>
        <w:numPr>
          <w:ilvl w:val="0"/>
          <w:numId w:val="1"/>
        </w:numPr>
        <w:spacing w:after="80"/>
      </w:pPr>
      <w:r>
        <w:rPr>
          <w:rFonts w:ascii="Calibri" w:cs="Calibri" w:eastAsia="Calibri" w:hAnsi="Calibri"/>
          <w:sz w:val="22"/>
          <w:szCs w:val="22"/>
        </w:rPr>
        <w:t xml:space="preserve">De onderliggende gedachte dat elke polisgebeurtenis traceerbaar wordt vastgelegd.</w:t>
      </w:r>
    </w:p>
    <w:p>
      <w:pPr>
        <w:pStyle w:val="ListParagraph"/>
        <w:numPr>
          <w:ilvl w:val="0"/>
          <w:numId w:val="1"/>
        </w:numPr>
        <w:spacing w:after="80"/>
      </w:pPr>
      <w:r>
        <w:rPr>
          <w:rFonts w:ascii="Calibri" w:cs="Calibri" w:eastAsia="Calibri" w:hAnsi="Calibri"/>
          <w:sz w:val="22"/>
          <w:szCs w:val="22"/>
        </w:rPr>
        <w:t xml:space="preserve">Welke extensibility-technieken beschikbaar zijn voor uitbreidingen.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Blijft (concept). b. Verandert (implementatie, richting Fiori). c. Blijft (concept). d. Verandert (nieuwe extensibility-patronen, deel 26).</w:t>
            </w:r>
          </w:p>
        </w:tc>
      </w:tr>
    </w:tbl>
    <w:p>
      <w:pPr>
        <w:pStyle w:val="Heading2"/>
        <w:spacing w:after="120" w:before="200"/>
      </w:pPr>
      <w:r>
        <w:rPr>
          <w:rFonts w:ascii="Georgia" w:cs="Georgia" w:eastAsia="Georgia" w:hAnsi="Georgia"/>
          <w:b/>
          <w:bCs/>
          <w:color w:val="2C5AA0"/>
          <w:sz w:val="28"/>
          <w:szCs w:val="28"/>
        </w:rPr>
        <w:t xml:space="preserve">Opdracht 23.2 — Drie migratievragen toepassen (15 min, tweetallen)</w:t>
      </w:r>
    </w:p>
    <w:p>
      <w:pPr>
        <w:spacing w:after="140" w:line="300"/>
      </w:pPr>
      <w:r>
        <w:rPr>
          <w:rFonts w:ascii="Calibri" w:cs="Calibri" w:eastAsia="Calibri" w:hAnsi="Calibri"/>
          <w:sz w:val="22"/>
          <w:szCs w:val="22"/>
        </w:rPr>
        <w:t xml:space="preserve">Formuleer, met de drie vragen uit reader §5, hoe je die specifiek zou toepassen op Meridiaans FS-PM-implementatie uit niveau 2.</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richtinggevend)</w:t>
            </w:r>
          </w:p>
          <w:p>
            <w:pPr>
              <w:spacing w:after="100" w:line="280"/>
            </w:pPr>
            <w:r>
              <w:rPr>
                <w:rFonts w:ascii="Calibri" w:cs="Calibri" w:eastAsia="Calibri" w:hAnsi="Calibri"/>
                <w:sz w:val="22"/>
                <w:szCs w:val="22"/>
              </w:rPr>
              <w:t xml:space="preserve">Bijvoorbeeld: *"Blijft de BTX-geschiedenis van polissen die al vóór de migratie bestonden (inclusief de historische kortingsregel uit niveau 1) volledig traceerbaar?"* En: *"De custom uitbreidingen die Jelle voor Meridiaan-specifieke regels bouwde — moeten die opnieuw beoordeeld worden onder het nieuwe extensibility-model?"*</w:t>
            </w:r>
          </w:p>
        </w:tc>
      </w:tr>
    </w:tbl>
    <w:p>
      <w:pPr>
        <w:pStyle w:val="Heading2"/>
        <w:spacing w:after="120" w:before="200"/>
      </w:pPr>
      <w:r>
        <w:rPr>
          <w:rFonts w:ascii="Georgia" w:cs="Georgia" w:eastAsia="Georgia" w:hAnsi="Georgia"/>
          <w:b/>
          <w:bCs/>
          <w:color w:val="2C5AA0"/>
          <w:sz w:val="28"/>
          <w:szCs w:val="28"/>
        </w:rPr>
        <w:t xml:space="preserve">Opdracht 23.3 — De disclaimer op zichzelf toegepast (15 min, individueel)</w:t>
      </w:r>
    </w:p>
    <w:p>
      <w:pPr>
        <w:spacing w:after="140" w:line="300"/>
      </w:pPr>
      <w:r>
        <w:rPr>
          <w:rFonts w:ascii="Calibri" w:cs="Calibri" w:eastAsia="Calibri" w:hAnsi="Calibri"/>
          <w:sz w:val="22"/>
          <w:szCs w:val="22"/>
        </w:rPr>
        <w:t xml:space="preserve">Leg uit waarom reader §3, kernzin, zegt dat dit deel de disclaimer-methode "zelf onderwerp van gesprek" maakt, in plaats van hem alleen toe te passen zoals in eerdere delen.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In eerdere delen was de disclaimer een vaste, stabiele achtergrondregel: concepten blijven, implementatiedetails verifieer je. Bij S/4HANA for Insurance is zelfs de grens tussen concept en implementatiedetail zelf nog in beweging, omdat SAP de S/4HANA Insurance-suite actief doorontwikkelt — de disclaimer geldt hier dus met extra nadruk, niet als routine-voetnoot.</w:t>
            </w:r>
          </w:p>
        </w:tc>
      </w:tr>
    </w:tbl>
    <w:p>
      <w:pPr>
        <w:pStyle w:val="Heading2"/>
        <w:spacing w:after="120" w:before="200"/>
      </w:pPr>
      <w:r>
        <w:rPr>
          <w:rFonts w:ascii="Georgia" w:cs="Georgia" w:eastAsia="Georgia" w:hAnsi="Georgia"/>
          <w:b/>
          <w:bCs/>
          <w:color w:val="2C5AA0"/>
          <w:sz w:val="28"/>
          <w:szCs w:val="28"/>
        </w:rPr>
        <w:t xml:space="preserve">Opdracht 23.4 — Migratie versus greenfield (15 min, groepjes van drie)</w:t>
      </w:r>
    </w:p>
    <w:p>
      <w:pPr>
        <w:spacing w:after="140" w:line="300"/>
      </w:pPr>
      <w:r>
        <w:rPr>
          <w:rFonts w:ascii="Calibri" w:cs="Calibri" w:eastAsia="Calibri" w:hAnsi="Calibri"/>
          <w:sz w:val="22"/>
          <w:szCs w:val="22"/>
        </w:rPr>
        <w:t xml:space="preserve">Bedenk twee extra risico's die specifiek bij een migratie horen (in tegenstelling tot Meridiaans oorspronkelijke greenfield FS-PM-traject uit niveau 1-2).</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richtinggevend)</w:t>
            </w:r>
          </w:p>
          <w:p>
            <w:pPr>
              <w:spacing w:after="100" w:line="280"/>
            </w:pPr>
            <w:r>
              <w:rPr>
                <w:rFonts w:ascii="Calibri" w:cs="Calibri" w:eastAsia="Calibri" w:hAnsi="Calibri"/>
                <w:sz w:val="22"/>
                <w:szCs w:val="22"/>
              </w:rPr>
              <w:t xml:space="preserve">- Lopende, nog niet afgeronde BTX's of claims die "de overstap meemaken" — wat gebeurt daarmee tijdens de overgang?</w:t>
            </w:r>
          </w:p>
          <w:p>
            <w:pPr>
              <w:spacing w:after="100" w:line="280"/>
            </w:pPr>
            <w:r>
              <w:rPr>
                <w:rFonts w:ascii="Calibri" w:cs="Calibri" w:eastAsia="Calibri" w:hAnsi="Calibri"/>
                <w:sz w:val="22"/>
                <w:szCs w:val="22"/>
              </w:rPr>
              <w:t xml:space="preserve">- Bestaande koppelingen (↗ deel 7, niveau 1) die op de oude laag zijn gebouwd, en mogelijk opnieuw getest moeten worden tegen de nieuwe laag.</w:t>
            </w:r>
          </w:p>
        </w:tc>
      </w:tr>
    </w:tbl>
    <w:p>
      <w:pPr>
        <w:pStyle w:val="Heading2"/>
        <w:spacing w:after="120" w:before="200"/>
      </w:pPr>
      <w:r>
        <w:rPr>
          <w:rFonts w:ascii="Georgia" w:cs="Georgia" w:eastAsia="Georgia" w:hAnsi="Georgia"/>
          <w:b/>
          <w:bCs/>
          <w:color w:val="2C5AA0"/>
          <w:sz w:val="28"/>
          <w:szCs w:val="28"/>
        </w:rPr>
        <w:t xml:space="preserve">Opdracht 23.5 — Je eigen migratie-ervaring (10 min, individueel, huiswerk)</w:t>
      </w:r>
    </w:p>
    <w:p>
      <w:pPr>
        <w:spacing w:after="140" w:line="300"/>
      </w:pPr>
      <w:r>
        <w:rPr>
          <w:rFonts w:ascii="Calibri" w:cs="Calibri" w:eastAsia="Calibri" w:hAnsi="Calibri"/>
          <w:sz w:val="22"/>
          <w:szCs w:val="22"/>
        </w:rPr>
        <w:t xml:space="preserve">Heb je ooit een systeemmigratie meegemaakt (in SAP of daarbuiten)? Welke continuïteitsvraag bleek achteraf het belangrijkst?</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bespreek kort in de volgende sessie.</w:t>
            </w:r>
          </w:p>
        </w:tc>
      </w:tr>
    </w:tbl>
    <w:p>
      <w:pPr>
        <w:pStyle w:val="Heading2"/>
        <w:spacing w:after="120" w:before="200"/>
      </w:pPr>
      <w:r>
        <w:rPr>
          <w:rFonts w:ascii="Georgia" w:cs="Georgia" w:eastAsia="Georgia" w:hAnsi="Georgia"/>
          <w:b/>
          <w:bCs/>
          <w:color w:val="2C5AA0"/>
          <w:sz w:val="28"/>
          <w:szCs w:val="28"/>
        </w:rPr>
        <w:t xml:space="preserve">Oefentoets — tien vragen</w:t>
      </w:r>
    </w:p>
    <w:p>
      <w:pPr>
        <w:spacing w:after="140" w:line="300"/>
      </w:pPr>
      <w:r>
        <w:rPr>
          <w:rFonts w:ascii="Calibri" w:cs="Calibri" w:eastAsia="Calibri" w:hAnsi="Calibri"/>
          <w:sz w:val="22"/>
          <w:szCs w:val="22"/>
        </w:rPr>
        <w:t xml:space="preserve">1. Wat is de status van FS-PM binnen S/4HANA, volgens dit deel? A. Volledig uitgefaseerd zonder vervanger. B. Leeft door als Policy Management, geen einde levenscyclus. C. Onbekend en niet te onderzoeken. D. Identiek aan de klassieke laag zonder enig verschil. 2. Wat blijft grotendeels stabiel bij de overstap naar S/4HANA? A. Niets. B. De conceptuele kern: het BTX-model en de productlogica. C. Alle transactiecodes exact hetzelfde. D. De extensibility-technieken. 3. Welke drie gebieden veranderen concreet? A. Niets verandert. B. Datamodel, interfaces, extensibility. C. Alleen de prijs. D. Alleen de naam van het product. 4. Waarom is dit onderwerp een van de weinige waar de disclaimer-methode zelf onderwerp van gesprek wordt? A. Geen reden. B. Zelfs de grens tussen concept en implementatiedetail is hier nog in beweging. C. De disclaimer geldt hier niet. D. Dit is het enige stabiele onderwerp in de cursus. 5. Wat is een vraag die specifiek bij een migratie hoort, niet bij een greenfield-implementatie? A. "Past dit bij wat de organisatie nodig heeft?" B. "Blijft de bestaande BTX-geschiedenis volledig traceerbaar na de overstap?" C. "Wie is de BA?" D. "Wat is een tabel?" 6. Waarom krijgt extensibility een eigen deel (26) in plaats van hier volledig behandeld te worden? A. Het is te onbelangrijk. B. Het onderwerp is zo omvangrijk dat het een eigen behandeling verdient. C. Extensibility bestaat niet in S/4HANA. D. Dit deel gaat niet over extensibility. 7. Wat is het praktische gevolg van het geïntegreerdere datamodel voor een BA? A. Niets merkbaars. B. Snellere, meer samenhangende rapportage over polissen. C. Alleen technische documentatie verandert. D. Het datamodel wordt trager. 8. Heeft Meridiaan al een definitief migratiebesluit genomen? A. Ja, allang. B. Nee, dit deel leert de vragen, niet de planning. C. Het is niet relevant. D. Migratie wordt nooit overwogen. 9. Wat is het advies bij een concreet wordend migratiebesluit? A. Niets ondernemen. B. De actuele SAP-roadmap en Learning Hub raadplegen. C. Alleen op deze cursus vertrouwen zonder verificatie. D. Het besluit negeren. 10. Wat onderscheidt een migratieproject van een greenfield-implementatie voor de BA-rol? A. Geen verschil. B. Een extra laag vragen over continuïteit van wat al bestaat. C. De BA-rol vervalt bij migratie. D. Migraties vergen geen fit-gap-analyse.</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(Antwoorden)</w:t>
            </w:r>
          </w:p>
          <w:p>
            <w:pPr>
              <w:spacing w:after="100" w:line="280"/>
            </w:pPr>
            <w:r>
              <w:rPr>
                <w:rFonts w:ascii="Calibri" w:cs="Calibri" w:eastAsia="Calibri" w:hAnsi="Calibri"/>
                <w:sz w:val="22"/>
                <w:szCs w:val="22"/>
              </w:rPr>
              <w:t xml:space="preserve">1B 2B 3B 4B 5B 6B 7B 8B 9B 10B</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3 Expert · Deel 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2026-08-16T20:12:53.976Z</dcterms:created>
  <dcterms:modified xsi:type="dcterms:W3CDTF">2026-08-16T20:12:53.976Z</dcterms:modified>
</cp:coreProperties>
</file>

<file path=docProps/custom.xml><?xml version="1.0" encoding="utf-8"?>
<Properties xmlns="http://schemas.openxmlformats.org/officeDocument/2006/custom-properties" xmlns:vt="http://schemas.openxmlformats.org/officeDocument/2006/docPropsVTypes"/>
</file>