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24 — Case: een proces implementeren</w:t>
      </w:r>
    </w:p>
    <w:p>
      <w:pPr>
        <w:spacing w:after="300"/>
      </w:pPr>
      <w:r>
        <w:rPr>
          <w:rFonts w:ascii="Calibri" w:cs="Calibri" w:eastAsia="Calibri" w:hAnsi="Calibri"/>
          <w:i/>
          <w:iCs/>
          <w:color w:val="2C5AA0"/>
          <w:sz w:val="22"/>
          <w:szCs w:val="22"/>
        </w:rPr>
        <w:t xml:space="preserve">Docentenhandleiding · Niveau 3 Expert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deel past de S/4HANA-laag uit deel 23 toe op een concreet implementatiescenario, en herneemt daarmee SAP Activate/fit-gap uit deel 9 (niveau 1) op een hoger niveau. Bewaak dat deelnemers niet in technische migratiedetails verzanden — het gaat om het vraagpatroon, niet om een uitgewerkte technische blauwdruk.</w:t>
      </w:r>
    </w:p>
    <w:p>
      <w:pPr>
        <w:spacing w:after="140" w:line="300"/>
      </w:pPr>
      <w:r>
        <w:rPr>
          <w:rFonts w:ascii="Calibri" w:cs="Calibri" w:eastAsia="Calibri" w:hAnsi="Calibri"/>
          <w:sz w:val="22"/>
          <w:szCs w:val="22"/>
        </w:rPr>
        <w:t xml:space="preserve">Eén zin om te onthouden: een fit-gap-analyse is niet universeel geldig, ze is gebonden aan de laag waartegen je toetst.</w:t>
      </w:r>
    </w:p>
    <w:p>
      <w:pPr>
        <w:pStyle w:val="Heading2"/>
        <w:spacing w:after="120" w:before="200"/>
      </w:pPr>
      <w:r>
        <w:rPr>
          <w:rFonts w:ascii="Georgia" w:cs="Georgia" w:eastAsia="Georgia" w:hAnsi="Georgia"/>
          <w:b/>
          <w:bCs/>
          <w:color w:val="2C5AA0"/>
          <w:sz w:val="28"/>
          <w:szCs w:val="28"/>
        </w:rPr>
        <w:t xml:space="preserve">2. Programma dagdeel (3 uur,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 naar de kern van het traject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traject door Activate met extra vragen (reader §3) + opdracht 24.1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Fit-gap op twee lagen (reader §4) + opdracht 24.2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24.3 een dubbel-adviesscenario schrijven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24.4 terug naar de capstone van niveau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Nabespreking, synthese, afsluiting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spacing w:after="140" w:line="300"/>
      </w:pPr>
      <w:r>
        <w:rPr>
          <w:rFonts w:ascii="Calibri" w:cs="Calibri" w:eastAsia="Calibri" w:hAnsi="Calibri"/>
          <w:sz w:val="22"/>
          <w:szCs w:val="22"/>
        </w:rPr>
        <w:t xml:space="preserve">Opdracht 24.5 huiswerk.</w:t>
      </w:r>
    </w:p>
    <w:p>
      <w:pPr>
        <w:pStyle w:val="Heading2"/>
        <w:spacing w:after="120" w:before="200"/>
      </w:pPr>
      <w:r>
        <w:rPr>
          <w:rFonts w:ascii="Georgia" w:cs="Georgia" w:eastAsia="Georgia" w:hAnsi="Georgia"/>
          <w:b/>
          <w:bCs/>
          <w:color w:val="2C5AA0"/>
          <w:sz w:val="28"/>
          <w:szCs w:val="28"/>
        </w:rPr>
        <w:t xml:space="preserve">3. Aandachtspunten</w:t>
      </w:r>
    </w:p>
    <w:p>
      <w:pPr>
        <w:spacing w:after="140" w:line="300"/>
      </w:pPr>
      <w:r>
        <w:rPr>
          <w:rFonts w:ascii="Calibri" w:cs="Calibri" w:eastAsia="Calibri" w:hAnsi="Calibri"/>
          <w:sz w:val="22"/>
          <w:szCs w:val="22"/>
        </w:rPr>
        <w:t xml:space="preserve">Bij opdracht 24.3, dit is de kernoefening — bewaak actief dat groepen daadwerkelijk beide lagen expliciet benoemen in hun advies, niet alleen impliciet één laag kiezen. Bij opdracht 24.4, dit is een mooi moment om de cursusbrede opbouw zichtbaar te maken: hoe niveau 3 met terugwerkende kracht eerdere stof verrijkt.</w:t>
      </w:r>
    </w:p>
    <w:p>
      <w:pPr>
        <w:pStyle w:val="Heading2"/>
        <w:spacing w:after="120" w:before="200"/>
      </w:pPr>
      <w:r>
        <w:rPr>
          <w:rFonts w:ascii="Georgia" w:cs="Georgia" w:eastAsia="Georgia" w:hAnsi="Georgia"/>
          <w:b/>
          <w:bCs/>
          <w:color w:val="2C5AA0"/>
          <w:sz w:val="28"/>
          <w:szCs w:val="28"/>
        </w:rPr>
        <w:t xml:space="preserve">4. Veelgestelde vragen</w:t>
      </w:r>
    </w:p>
    <w:p>
      <w:pPr>
        <w:spacing w:after="140" w:line="300"/>
      </w:pPr>
      <w:r>
        <w:rPr>
          <w:rFonts w:ascii="Calibri" w:cs="Calibri" w:eastAsia="Calibri" w:hAnsi="Calibri"/>
          <w:sz w:val="22"/>
          <w:szCs w:val="22"/>
        </w:rPr>
        <w:t xml:space="preserve">"Moeten we nu altijd 'dubbel-compatibel' bouwen om veilig te zijn?" Nee, expliciet niet — dat is vaak duurder en complexer dan nodig. Het punt van dit deel is bewustzijn van de keuze, niet een standaardvoorkeur voor één van de drie opties uit reader §5.</w:t>
      </w:r>
    </w:p>
    <w:p>
      <w:pPr>
        <w:pStyle w:val="Heading2"/>
        <w:spacing w:after="120" w:before="200"/>
      </w:pPr>
      <w:r>
        <w:rPr>
          <w:rFonts w:ascii="Georgia" w:cs="Georgia" w:eastAsia="Georgia" w:hAnsi="Georgia"/>
          <w:b/>
          <w:bCs/>
          <w:color w:val="2C5AA0"/>
          <w:sz w:val="28"/>
          <w:szCs w:val="28"/>
        </w:rPr>
        <w:t xml:space="preserve">5. Benodigdheden</w:t>
      </w:r>
    </w:p>
    <w:p>
      <w:pPr>
        <w:spacing w:after="140" w:line="300"/>
      </w:pPr>
      <w:r>
        <w:rPr>
          <w:rFonts w:ascii="Calibri" w:cs="Calibri" w:eastAsia="Calibri" w:hAnsi="Calibri"/>
          <w:sz w:val="22"/>
          <w:szCs w:val="22"/>
        </w:rPr>
        <w:t xml:space="preserve">Casusdossier-aanvulling SAP, slidedeck deel 24.</w:t>
      </w:r>
    </w:p>
    <w:p>
      <w:pPr>
        <w:pStyle w:val="Heading2"/>
        <w:spacing w:after="120" w:before="200"/>
      </w:pPr>
      <w:r>
        <w:rPr>
          <w:rFonts w:ascii="Georgia" w:cs="Georgia" w:eastAsia="Georgia" w:hAnsi="Georgia"/>
          <w:b/>
          <w:bCs/>
          <w:color w:val="2C5AA0"/>
          <w:sz w:val="28"/>
          <w:szCs w:val="28"/>
        </w:rPr>
        <w:t xml:space="preserve">6. Voorbereiding op deel 25</w:t>
      </w:r>
    </w:p>
    <w:p>
      <w:pPr>
        <w:spacing w:after="140" w:line="300"/>
      </w:pPr>
      <w:r>
        <w:rPr>
          <w:rFonts w:ascii="Calibri" w:cs="Calibri" w:eastAsia="Calibri" w:hAnsi="Calibri"/>
          <w:sz w:val="22"/>
          <w:szCs w:val="22"/>
        </w:rPr>
        <w:t xml:space="preserve">Deel 25 (Debugging &amp; runtime-analyse) staat inhoudelijk los van dit deel, als terugkeer naar de meer technische leesvaardigheid uit deel 5 (niveau 1), nu op expertniveau.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2026-08-16T20:12:55.060Z</dcterms:created>
  <dcterms:modified xsi:type="dcterms:W3CDTF">2026-08-16T20:12:55.060Z</dcterms:modified>
</cp:coreProperties>
</file>

<file path=docProps/custom.xml><?xml version="1.0" encoding="utf-8"?>
<Properties xmlns="http://schemas.openxmlformats.org/officeDocument/2006/custom-properties" xmlns:vt="http://schemas.openxmlformats.org/officeDocument/2006/docPropsVTypes"/>
</file>