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24 — Case: een proces implementeren</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24.1 — Fasen met extra vraag koppelen (15 min, individueel)</w:t>
      </w:r>
    </w:p>
    <w:p>
      <w:pPr>
        <w:spacing w:after="140" w:line="300"/>
      </w:pPr>
      <w:r>
        <w:rPr>
          <w:rFonts w:ascii="Calibri" w:cs="Calibri" w:eastAsia="Calibri" w:hAnsi="Calibri"/>
          <w:sz w:val="22"/>
          <w:szCs w:val="22"/>
        </w:rPr>
        <w:t xml:space="preserve">Koppel elke extra S/4HANA-vraag (reader §3) aan de juiste Activate-fase, zonder in de reader te kijken.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Zie tabel reader §3: Discover (is dit al standaard in S/4HANA), Prepare (raakt dit bestaande BTX-geschiedenis), Explore (verschilt de fit-gap-uitkomst), Realize (welke extensibility-technieken), Deploy (overgangsperiode nodig?).</w:t>
            </w:r>
          </w:p>
        </w:tc>
      </w:tr>
    </w:tbl>
    <w:p>
      <w:pPr>
        <w:pStyle w:val="Heading2"/>
        <w:spacing w:after="120" w:before="200"/>
      </w:pPr>
      <w:r>
        <w:rPr>
          <w:rFonts w:ascii="Georgia" w:cs="Georgia" w:eastAsia="Georgia" w:hAnsi="Georgia"/>
          <w:b/>
          <w:bCs/>
          <w:color w:val="2C5AA0"/>
          <w:sz w:val="28"/>
          <w:szCs w:val="28"/>
        </w:rPr>
        <w:t xml:space="preserve">Opdracht 24.2 — Fit op de ene laag, gap op de andere (15 min, tweetallen)</w:t>
      </w:r>
    </w:p>
    <w:p>
      <w:pPr>
        <w:spacing w:after="140" w:line="300"/>
      </w:pPr>
      <w:r>
        <w:rPr>
          <w:rFonts w:ascii="Calibri" w:cs="Calibri" w:eastAsia="Calibri" w:hAnsi="Calibri"/>
          <w:sz w:val="22"/>
          <w:szCs w:val="22"/>
        </w:rPr>
        <w:t xml:space="preserve">Bedenk, naast de flexibele pensioenleeftijd-optie uit de reader, een ander fictief voorbeeld waarbij de fit-gap-uitkomst tussen klassiek en S/4HANA zou kunnen verschillen.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Bijvoorbeeld: een geavanceerde rapportagefunctie die dankzij de Universal Journal (↗ deel 15) in S/4HANA standaard beschikbaar is, maar op de klassieke laag een aparte, maatwerk-query zou vergen — een gap op klassiek, mogelijk een fit op S/4HANA.</w:t>
            </w:r>
          </w:p>
        </w:tc>
      </w:tr>
    </w:tbl>
    <w:p>
      <w:pPr>
        <w:pStyle w:val="Heading2"/>
        <w:spacing w:after="120" w:before="200"/>
      </w:pPr>
      <w:r>
        <w:rPr>
          <w:rFonts w:ascii="Georgia" w:cs="Georgia" w:eastAsia="Georgia" w:hAnsi="Georgia"/>
          <w:b/>
          <w:bCs/>
          <w:color w:val="2C5AA0"/>
          <w:sz w:val="28"/>
          <w:szCs w:val="28"/>
        </w:rPr>
        <w:t xml:space="preserve">Opdracht 24.3 — Een dubbel-adviesscenario schrijven (20 min, groepjes van drie)</w:t>
      </w:r>
    </w:p>
    <w:p>
      <w:pPr>
        <w:spacing w:after="140" w:line="300"/>
      </w:pPr>
      <w:r>
        <w:rPr>
          <w:rFonts w:ascii="Calibri" w:cs="Calibri" w:eastAsia="Calibri" w:hAnsi="Calibri"/>
          <w:sz w:val="22"/>
          <w:szCs w:val="22"/>
        </w:rPr>
        <w:t xml:space="preserve">Schrijf, met het patroon uit reader §5, een kort implementatieadvies voor de flexibele pensioenleeftijd-optie, waarin je expliciet stelling neemt over welke van de drie opties (bouw nu klassiek, wacht op migratiebesluit, bouw dubbel-compatibel) je zou adviseren — en waarom.</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"juist" antwoord — beoordeel op onderbouwing: weegt de groep daadwerkelijk beide lagen, of kiest zij impliciet voor één laag zonder de andere te bespreken? Dat laatste is precies de valkuil die dit deel wil voorkomen.</w:t>
            </w:r>
          </w:p>
        </w:tc>
      </w:tr>
    </w:tbl>
    <w:p>
      <w:pPr>
        <w:pStyle w:val="Heading2"/>
        <w:spacing w:after="120" w:before="200"/>
      </w:pPr>
      <w:r>
        <w:rPr>
          <w:rFonts w:ascii="Georgia" w:cs="Georgia" w:eastAsia="Georgia" w:hAnsi="Georgia"/>
          <w:b/>
          <w:bCs/>
          <w:color w:val="2C5AA0"/>
          <w:sz w:val="28"/>
          <w:szCs w:val="28"/>
        </w:rPr>
        <w:t xml:space="preserve">Opdracht 24.4 — Terug naar de capstone van niveau 1 (15 min, individueel)</w:t>
      </w:r>
    </w:p>
    <w:p>
      <w:pPr>
        <w:spacing w:after="140" w:line="300"/>
      </w:pPr>
      <w:r>
        <w:rPr>
          <w:rFonts w:ascii="Calibri" w:cs="Calibri" w:eastAsia="Calibri" w:hAnsi="Calibri"/>
          <w:sz w:val="22"/>
          <w:szCs w:val="22"/>
        </w:rPr>
        <w:t xml:space="preserve">Herlees de fusie/overname-capstone uit deel 10 (niveau 1). Zou je, met de kennis van dit deel, daar nu een S/4HANA-vraag aan toevoegen? Zo ja, welke?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Bijvoorbeeld: *"Verandert de manier waarop een polisoverdracht bij fusie wordt vastgelegd, tussen de klassieke en de S/4HANA-laag — met name gezien het datamodel-verschil dat rapportage over de overgedragen polissen raakt?"* Dit laat zien hoe deel 23-24 een extra dimensie toevoegen aan eerdere niveau 1-stof, met terugwerkende kracht.</w:t>
            </w:r>
          </w:p>
        </w:tc>
      </w:tr>
    </w:tbl>
    <w:p>
      <w:pPr>
        <w:pStyle w:val="Heading2"/>
        <w:spacing w:after="120" w:before="200"/>
      </w:pPr>
      <w:r>
        <w:rPr>
          <w:rFonts w:ascii="Georgia" w:cs="Georgia" w:eastAsia="Georgia" w:hAnsi="Georgia"/>
          <w:b/>
          <w:bCs/>
          <w:color w:val="2C5AA0"/>
          <w:sz w:val="28"/>
          <w:szCs w:val="28"/>
        </w:rPr>
        <w:t xml:space="preserve">Opdracht 24.5 — Je eigen dubbellaag-ervaring (10 min, individueel, huiswerk)</w:t>
      </w:r>
    </w:p>
    <w:p>
      <w:pPr>
        <w:spacing w:after="140" w:line="300"/>
      </w:pPr>
      <w:r>
        <w:rPr>
          <w:rFonts w:ascii="Calibri" w:cs="Calibri" w:eastAsia="Calibri" w:hAnsi="Calibri"/>
          <w:sz w:val="22"/>
          <w:szCs w:val="22"/>
        </w:rPr>
        <w:t xml:space="preserve">Heb je ooit een implementatie meegemaakt waarbij twee mogelijke technische paden tegelijk moesten worden overwogen? Wat was de doorslaggevende overweging?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maakt dit deel anders dan deel 9 (niveau 1)? A. Niets. B. Het traject wordt expliciet tegen twee lagen (klassiek en S/4HANA) afgezet. C. Dit deel gaat niet over implementatie. D. Er is geen SAP Activate meer. 2. Welke extra vraag hoort bij de Discover-fase in dit scenario? A. Geen extra vraag. B. Is dit patroon al standaard in S/4HANA, of alleen klassiek? C. Wat kost dit? D. Wie is de projectleider? 3. Wat kan er gebeuren met een fit-gap-uitkomst tussen twee lagen? A. Ze zijn altijd identiek. B. Wat op de ene laag een gap is, kan op de andere een fit zijn. C. Fit-gap-analyses zijn niet laaggebonden. D. Er is geen verschil mogelijk. 4. Wat bevat een compleet implementatieadvies in dit scenario, naast de gewone requirement-elementen? A. Niets extra's. B. Een expliciete paragraaf die beide lagen weegt. C. Alleen een technische specificatie. D. Een testrapport. 5. Wat is de extra vraag bij de Realize-fase? A. Is dit al standaard? B. Welke extensibility-technieken zijn beschikbaar, afhankelijk van de laag? C. Wat is de scope? D. Is er een overgangsperiode? 6. Wat is de extra vraag bij de Deploy-fase? A. Niets. B. Is er een overgangsperiode waarin beide lagen naast elkaar bestaan? C. Is dit een fit of gap? D. Wat kost dit? 7. Waarom is dit scenario representatief voor veel BA's bij verzekeraars vandaag? A. Het is niet representatief. B. Veel organisaties hebben nog geen definitief migratiebesluit genomen of zitten middenin een overgang. C. Alle verzekeraars gebruiken al S/4HANA. D. Geen enkele verzekeraar gebruikt SAP. 8. Wat is een valkuil die opdracht 24.3 wil voorkomen? A. Te veel details geven. B. Impliciet voor één laag kiezen zonder de andere te bespreken. C. Te lang nadenken. D. Te weinig vragen stellen. 9. Wat is het verband tussen dit deel en deel 26? A. Geen verband. B. De Realize-fase van dit deel verwijst naar extensibility-technieken die deel 26 volledig behandelt. C. Deel 26 gaat over iets heel anders. D. Dit deel vervangt deel 26. 10. Wat leert dit deel over de capstone van deel 10 (niveau 1), volgens opdracht 24.4? A. Niets, geen relatie. B. Deel 23-24 voegen met terugwerkende kracht een extra S/4HANA-dimensie toe aan eerdere stof. C. De capstone van deel 10 was fout. D. Deel 10 moet worden herschreven.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2026-08-16T20:12:55.033Z</dcterms:created>
  <dcterms:modified xsi:type="dcterms:W3CDTF">2026-08-16T20:12:55.033Z</dcterms:modified>
</cp:coreProperties>
</file>

<file path=docProps/custom.xml><?xml version="1.0" encoding="utf-8"?>
<Properties xmlns="http://schemas.openxmlformats.org/officeDocument/2006/custom-properties" xmlns:vt="http://schemas.openxmlformats.org/officeDocument/2006/docPropsVTypes"/>
</file>