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26 — BTP &amp; extensibility</w:t>
      </w:r>
    </w:p>
    <w:p>
      <w:pPr>
        <w:spacing w:after="300"/>
      </w:pPr>
      <w:r>
        <w:rPr>
          <w:rFonts w:ascii="Calibri" w:cs="Calibri" w:eastAsia="Calibri" w:hAnsi="Calibri"/>
          <w:i/>
          <w:iCs/>
          <w:color w:val="2C5AA0"/>
          <w:sz w:val="22"/>
          <w:szCs w:val="22"/>
        </w:rPr>
        <w:t xml:space="preserve">Werkboek · Niveau 3 Expert · Cursus SAP voor Business Analysts · Ductus</w:t>
      </w:r>
    </w:p>
    <w:p>
      <w:pPr>
        <w:pStyle w:val="Heading2"/>
        <w:spacing w:after="120" w:before="200"/>
      </w:pPr>
      <w:r>
        <w:rPr>
          <w:rFonts w:ascii="Georgia" w:cs="Georgia" w:eastAsia="Georgia" w:hAnsi="Georgia"/>
          <w:b/>
          <w:bCs/>
          <w:color w:val="2C5AA0"/>
          <w:sz w:val="28"/>
          <w:szCs w:val="28"/>
        </w:rPr>
        <w:t xml:space="preserve">Opdracht 26.1 — Side-by-side of klassiek? (15 min, individueel)</w:t>
      </w:r>
    </w:p>
    <w:p>
      <w:pPr>
        <w:pStyle w:val="ListParagraph"/>
        <w:numPr>
          <w:ilvl w:val="0"/>
          <w:numId w:val="1"/>
        </w:numPr>
        <w:spacing w:after="80"/>
      </w:pPr>
      <w:r>
        <w:rPr>
          <w:rFonts w:ascii="Calibri" w:cs="Calibri" w:eastAsia="Calibri" w:hAnsi="Calibri"/>
          <w:sz w:val="22"/>
          <w:szCs w:val="22"/>
        </w:rPr>
        <w:t xml:space="preserve">Een kleine, nauw verweven correctie in de premieberekening die direct in de kernlogica moet ingrijpen.</w:t>
      </w:r>
    </w:p>
    <w:p>
      <w:pPr>
        <w:pStyle w:val="ListParagraph"/>
        <w:numPr>
          <w:ilvl w:val="0"/>
          <w:numId w:val="1"/>
        </w:numPr>
        <w:spacing w:after="80"/>
      </w:pPr>
      <w:r>
        <w:rPr>
          <w:rFonts w:ascii="Calibri" w:cs="Calibri" w:eastAsia="Calibri" w:hAnsi="Calibri"/>
          <w:sz w:val="22"/>
          <w:szCs w:val="22"/>
        </w:rPr>
        <w:t xml:space="preserve">Een nieuwe, zelfstandige app waarmee polishouders hun claim online kunnen indienen, met moderne technologie.</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Klassiek (user exit/BAdI) — nauw verweven, niet zinvol los te trekken. b. Side-by-side — zelfstandig, modern, geschikt voor BTP.</w:t>
            </w:r>
          </w:p>
        </w:tc>
      </w:tr>
    </w:tbl>
    <w:p>
      <w:pPr>
        <w:pStyle w:val="Heading2"/>
        <w:spacing w:after="120" w:before="200"/>
      </w:pPr>
      <w:r>
        <w:rPr>
          <w:rFonts w:ascii="Georgia" w:cs="Georgia" w:eastAsia="Georgia" w:hAnsi="Georgia"/>
          <w:b/>
          <w:bCs/>
          <w:color w:val="2C5AA0"/>
          <w:sz w:val="28"/>
          <w:szCs w:val="28"/>
        </w:rPr>
        <w:t xml:space="preserve">Opdracht 26.2 — Keep the core clean uitleggen (10 min, individueel)</w:t>
      </w:r>
    </w:p>
    <w:p>
      <w:pPr>
        <w:spacing w:after="140" w:line="300"/>
      </w:pPr>
      <w:r>
        <w:rPr>
          <w:rFonts w:ascii="Calibri" w:cs="Calibri" w:eastAsia="Calibri" w:hAnsi="Calibri"/>
          <w:sz w:val="22"/>
          <w:szCs w:val="22"/>
        </w:rPr>
        <w:t xml:space="preserve">Leg in eigen woorden uit waarom "keep the core clean" de onderhoudslast-zorg uit deel 6 §5.2 rechtstreeks aanpakt.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Deel 6 §5.2 noemde onderhoudslast als reden waarom "een kleine aanpassing" zelden klein is: elke uitbreiding in de kern moet bij elke toekomstige update apart gecontroleerd worden. "Keep the core clean" verkleint dit risico door uitbreidingen zoveel mogelijk buiten de kern te houden, zodat een update de kern zelf ongemoeid laat.</w:t>
            </w:r>
          </w:p>
        </w:tc>
      </w:tr>
    </w:tbl>
    <w:p>
      <w:pPr>
        <w:pStyle w:val="Heading2"/>
        <w:spacing w:after="120" w:before="200"/>
      </w:pPr>
      <w:r>
        <w:rPr>
          <w:rFonts w:ascii="Georgia" w:cs="Georgia" w:eastAsia="Georgia" w:hAnsi="Georgia"/>
          <w:b/>
          <w:bCs/>
          <w:color w:val="2C5AA0"/>
          <w:sz w:val="28"/>
          <w:szCs w:val="28"/>
        </w:rPr>
        <w:t xml:space="preserve">Opdracht 26.3 — De historische kortingsregel, derde keer (15 min, groepjes van drie)</w:t>
      </w:r>
    </w:p>
    <w:p>
      <w:pPr>
        <w:spacing w:after="140" w:line="300"/>
      </w:pPr>
      <w:r>
        <w:rPr>
          <w:rFonts w:ascii="Calibri" w:cs="Calibri" w:eastAsia="Calibri" w:hAnsi="Calibri"/>
          <w:sz w:val="22"/>
          <w:szCs w:val="22"/>
        </w:rPr>
        <w:t xml:space="preserve">Vergelijk de drie mogelijke plekken voor de historische kortingsregel die deze cursus tot nu toe heeft besproken: custom code (deel 5), BRFplus (deel 12), side-by-side extension (dit deel). Welke zou jullie kiezen, en waarom?</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"juist" antwoord. Waarschijnlijke conclusie: BRFplus blijft het meest passend voor een relatief eenvoudige bedrijfsregel; side-by-side zou pas de voorkeur krijgen als de regel complexer en onafhankelijker was geweest. Beoordeel op argumentatie, niet op de uitkomst.</w:t>
            </w:r>
          </w:p>
        </w:tc>
      </w:tr>
    </w:tbl>
    <w:p>
      <w:pPr>
        <w:pStyle w:val="Heading2"/>
        <w:spacing w:after="120" w:before="200"/>
      </w:pPr>
      <w:r>
        <w:rPr>
          <w:rFonts w:ascii="Georgia" w:cs="Georgia" w:eastAsia="Georgia" w:hAnsi="Georgia"/>
          <w:b/>
          <w:bCs/>
          <w:color w:val="2C5AA0"/>
          <w:sz w:val="28"/>
          <w:szCs w:val="28"/>
        </w:rPr>
        <w:t xml:space="preserve">Opdracht 26.4 — De derde dimensie toepassen (15 min, individueel)</w:t>
      </w:r>
    </w:p>
    <w:p>
      <w:pPr>
        <w:spacing w:after="140" w:line="300"/>
      </w:pPr>
      <w:r>
        <w:rPr>
          <w:rFonts w:ascii="Calibri" w:cs="Calibri" w:eastAsia="Calibri" w:hAnsi="Calibri"/>
          <w:sz w:val="22"/>
          <w:szCs w:val="22"/>
        </w:rPr>
        <w:t xml:space="preserve">Beschrijf voor een fictieve nieuwe wens (zelf te bedenken) hoe je zowel de schuifbalk uit deel 6 (customizing-development) als de dimensie uit dit deel (waar het draait) zou toepassen.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beoordeel of beide dimensies daadwerkelijk apart worden benoemd, niet samengevoegd tot één vage uitspraak.</w:t>
            </w:r>
          </w:p>
        </w:tc>
      </w:tr>
    </w:tbl>
    <w:p>
      <w:pPr>
        <w:pStyle w:val="Heading2"/>
        <w:spacing w:after="120" w:before="200"/>
      </w:pPr>
      <w:r>
        <w:rPr>
          <w:rFonts w:ascii="Georgia" w:cs="Georgia" w:eastAsia="Georgia" w:hAnsi="Georgia"/>
          <w:b/>
          <w:bCs/>
          <w:color w:val="2C5AA0"/>
          <w:sz w:val="28"/>
          <w:szCs w:val="28"/>
        </w:rPr>
        <w:t xml:space="preserve">Opdracht 26.5 — Je eigen "los bouwen"-voorbeeld (10 min, individueel, huiswerk)</w:t>
      </w:r>
    </w:p>
    <w:p>
      <w:pPr>
        <w:spacing w:after="140" w:line="300"/>
      </w:pPr>
      <w:r>
        <w:rPr>
          <w:rFonts w:ascii="Calibri" w:cs="Calibri" w:eastAsia="Calibri" w:hAnsi="Calibri"/>
          <w:sz w:val="22"/>
          <w:szCs w:val="22"/>
        </w:rPr>
        <w:t xml:space="preserve">Bedenk een voorbeeld uit je eigen werk (kan buiten SAP) waarin iets bewust los van een kernsysteem werd gebouwd om updates makkelijker te houden.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betekent "keep the core clean"? A. Regelmatig het systeem opschonen van data. B. Het kernsysteem zo dicht mogelijk bij standaard houden, uitbreidingen ernaast bouwen. C. Nooit uitbreiden. D. Alleen custom code gebruiken. 2. Wat is een side-by-side extension? A. Een uitbreiding binnen de kern. B. Een apart, zelfstandig stuk software dat naast het kernsysteem draait, verbonden via een API. C. Een type BTX. D. Een rapportagetool. 3. Wat is BTP? A. Een testframework. B. Het platform waarop side-by-side extensions doorgaans draaien. C. Een type claim. D. Een sleutelveld. 4. Wanneer is side-by-side geschikt? A. Altijd. B. Bij relatief zelfstandige, snel veranderende functionaliteit. C. Nooit. D. Alleen bij fraude-signalering. 5. Wanneer blijft een klassieke uitbreiding (user exit/BAdI) geschikt? A. Nooit meer. B. Bij kleine, nauw verweven aanpassingen die niet zinvol los te trekken zijn. C. Altijd, side-by-side is nutteloos. D. Alleen bij rapportage. 6. Wat is de derde dimensie die dit deel toevoegt aan de schuifbalk uit deel 6? A. Geen nieuwe dimensie. B. Waar de uitbreiding draait, naast hoeveel je bouwt. C. De kleur van de interface. D. De prijs. 7. Hoe verbindt een side-by-side extension zich met het kernsysteem? A. Rechtstreeks ingebouwd. B. Via een API. C. Via een transactiecode. D. Via een BAdI. 8. Waarom is "keep the core clean" relevant bij een S/4HANA-migratie (deel 23)? A. Geen relatie. B. Side-by-side extensions zijn minder kwetsbaar omdat ze nooit in de kern zaten. C. Migraties raken alleen side-by-side extensions. D. Er is geen verband tussen extensibility en migratie. 9. Wat blijft de rol van de BA bij deze keuze (side-by-side vs. klassiek)? A. Zelf de technische keuze maken. B. Weten dat de keuze bestaat om de juiste vraag te stellen, niet zelf beslissen. C. Nooit hierover meepraten. D. Altijd voor side-by-side kiezen. 10. Wat illustreert de derde behandeling van de historische kortingsregel (opdracht 26.3)? A. Niets nieuws. B. Hoe dezelfde casus door de cursus heen steeds meer opties en nuance krijgt. C. Dat de regel fout is. D. Dat BRFplus altijd de beste keuze is.</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5B 6B 7B 8B 9B 10B</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3 Expert · Deel 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2026-08-16T20:12:57.074Z</dcterms:created>
  <dcterms:modified xsi:type="dcterms:W3CDTF">2026-08-16T20:12:57.074Z</dcterms:modified>
</cp:coreProperties>
</file>

<file path=docProps/custom.xml><?xml version="1.0" encoding="utf-8"?>
<Properties xmlns="http://schemas.openxmlformats.org/officeDocument/2006/custom-properties" xmlns:vt="http://schemas.openxmlformats.org/officeDocument/2006/docPropsVTypes"/>
</file>