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27 — IFRS17/FPSL: de samenvatting</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27.1 — Verdient dit de toets? (15 min, individueel)</w:t>
      </w:r>
    </w:p>
    <w:p>
      <w:pPr>
        <w:pStyle w:val="ListParagraph"/>
        <w:numPr>
          <w:ilvl w:val="0"/>
          <w:numId w:val="1"/>
        </w:numPr>
        <w:spacing w:after="80"/>
      </w:pPr>
      <w:r>
        <w:rPr>
          <w:rFonts w:ascii="Calibri" w:cs="Calibri" w:eastAsia="Calibri" w:hAnsi="Calibri"/>
          <w:sz w:val="22"/>
          <w:szCs w:val="22"/>
        </w:rPr>
        <w:t xml:space="preserve">Een polishouder wijzigt zijn telefoonnummer.</w:t>
      </w:r>
    </w:p>
    <w:p>
      <w:pPr>
        <w:pStyle w:val="ListParagraph"/>
        <w:numPr>
          <w:ilvl w:val="0"/>
          <w:numId w:val="1"/>
        </w:numPr>
        <w:spacing w:after="80"/>
      </w:pPr>
      <w:r>
        <w:rPr>
          <w:rFonts w:ascii="Calibri" w:cs="Calibri" w:eastAsia="Calibri" w:hAnsi="Calibri"/>
          <w:sz w:val="22"/>
          <w:szCs w:val="22"/>
        </w:rPr>
        <w:t xml:space="preserve">Een claim wordt goedgekeurd en leidt tot premievrijstelling.</w:t>
      </w:r>
    </w:p>
    <w:p>
      <w:pPr>
        <w:pStyle w:val="ListParagraph"/>
        <w:numPr>
          <w:ilvl w:val="0"/>
          <w:numId w:val="1"/>
        </w:numPr>
        <w:spacing w:after="80"/>
      </w:pPr>
      <w:r>
        <w:rPr>
          <w:rFonts w:ascii="Calibri" w:cs="Calibri" w:eastAsia="Calibri" w:hAnsi="Calibri"/>
          <w:sz w:val="22"/>
          <w:szCs w:val="22"/>
        </w:rPr>
        <w:t xml:space="preserve">Een polis wordt beëindigd (Termination).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Nee — administratief, geen premie-/dekkingseffect. b. Ja — raakt de premie. c. Ja — raakt de waarde van de polis.</w:t>
            </w:r>
          </w:p>
        </w:tc>
      </w:tr>
    </w:tbl>
    <w:p>
      <w:pPr>
        <w:pStyle w:val="Heading2"/>
        <w:spacing w:after="120" w:before="200"/>
      </w:pPr>
      <w:r>
        <w:rPr>
          <w:rFonts w:ascii="Georgia" w:cs="Georgia" w:eastAsia="Georgia" w:hAnsi="Georgia"/>
          <w:b/>
          <w:bCs/>
          <w:color w:val="2C5AA0"/>
          <w:sz w:val="28"/>
          <w:szCs w:val="28"/>
        </w:rPr>
        <w:t xml:space="preserve">Opdracht 27.2 — De tweetraps-toets toepassen (15 min, tweetallen)</w:t>
      </w:r>
    </w:p>
    <w:p>
      <w:pPr>
        <w:spacing w:after="140" w:line="300"/>
      </w:pPr>
      <w:r>
        <w:rPr>
          <w:rFonts w:ascii="Calibri" w:cs="Calibri" w:eastAsia="Calibri" w:hAnsi="Calibri"/>
          <w:sz w:val="22"/>
          <w:szCs w:val="22"/>
        </w:rPr>
        <w:t xml:space="preserve">Pas beide vragen uit reader §4 toe op een Universal Change (jaarlijkse indexatie, ↗ deel 11).</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Boekingsvraag: een indexatie verandert waarschijnlijk de premie-inkomstenboeking voor alle geraakte polissen — mogelijk via een periodieke, niet directe boeking gezien het bulkkarakter. Rapportagevraag: de verwachte toekomstige premie-inkomsten van de hele geraakte portefeuille veranderen, wat relevant is voor de portefeuillewaardering.</w:t>
            </w:r>
          </w:p>
        </w:tc>
      </w:tr>
    </w:tbl>
    <w:p>
      <w:pPr>
        <w:pStyle w:val="Heading2"/>
        <w:spacing w:after="120" w:before="200"/>
      </w:pPr>
      <w:r>
        <w:rPr>
          <w:rFonts w:ascii="Georgia" w:cs="Georgia" w:eastAsia="Georgia" w:hAnsi="Georgia"/>
          <w:b/>
          <w:bCs/>
          <w:color w:val="2C5AA0"/>
          <w:sz w:val="28"/>
          <w:szCs w:val="28"/>
        </w:rPr>
        <w:t xml:space="preserve">Opdracht 27.3 — De historische kortingsregel, een vierde keer (15 min, individueel)</w:t>
      </w:r>
    </w:p>
    <w:p>
      <w:pPr>
        <w:spacing w:after="140" w:line="300"/>
      </w:pPr>
      <w:r>
        <w:rPr>
          <w:rFonts w:ascii="Calibri" w:cs="Calibri" w:eastAsia="Calibri" w:hAnsi="Calibri"/>
          <w:sz w:val="22"/>
          <w:szCs w:val="22"/>
        </w:rPr>
        <w:t xml:space="preserve">Leg uit hoe de IFRS17/FPSL-toets uit dit deel de historische kortingsregel (deel 5, 12, 26) had kunnen "vangen" vóórdat hij een probleem werd.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Als de toets standaard was toegepast bij het invoeren van de regel, was de vraag "verandert dit de boeking en/of de rapportagevraag" al bij de introductie gesteld — waardoor de regel niet alleen procesmatig (waar hoort hij configuratietechnisch thuis) maar ook financieel zichtbaar was geweest, in plaats van pas jaren later te worden herontdekt.</w:t>
            </w:r>
          </w:p>
        </w:tc>
      </w:tr>
    </w:tbl>
    <w:p>
      <w:pPr>
        <w:pStyle w:val="Heading2"/>
        <w:spacing w:after="120" w:before="200"/>
      </w:pPr>
      <w:r>
        <w:rPr>
          <w:rFonts w:ascii="Georgia" w:cs="Georgia" w:eastAsia="Georgia" w:hAnsi="Georgia"/>
          <w:b/>
          <w:bCs/>
          <w:color w:val="2C5AA0"/>
          <w:sz w:val="28"/>
          <w:szCs w:val="28"/>
        </w:rPr>
        <w:t xml:space="preserve">Opdracht 27.4 — Signaleren, niet berekenen (10 min, individueel)</w:t>
      </w:r>
    </w:p>
    <w:p>
      <w:pPr>
        <w:spacing w:after="140" w:line="300"/>
      </w:pPr>
      <w:r>
        <w:rPr>
          <w:rFonts w:ascii="Calibri" w:cs="Calibri" w:eastAsia="Calibri" w:hAnsi="Calibri"/>
          <w:sz w:val="22"/>
          <w:szCs w:val="22"/>
        </w:rPr>
        <w:t xml:space="preserve">Herformuleer "bereken de IFRS17-impact van deze wijziging" naar een signaleringsvraag die bij de BA-rol past (↗ deel 14 §5.2, deel 27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*"Signaleer aan finance dat deze wijziging mogelijk een IFRS17/FPSL-implicatie heeft, zodat zij kunnen beoordelen of en hoe dit verwerkt moet worden."* Niet: zelf de impact berekenen — dat blijft specialistenwerk.</w:t>
            </w:r>
          </w:p>
        </w:tc>
      </w:tr>
    </w:tbl>
    <w:p>
      <w:pPr>
        <w:pStyle w:val="Heading2"/>
        <w:spacing w:after="120" w:before="200"/>
      </w:pPr>
      <w:r>
        <w:rPr>
          <w:rFonts w:ascii="Georgia" w:cs="Georgia" w:eastAsia="Georgia" w:hAnsi="Georgia"/>
          <w:b/>
          <w:bCs/>
          <w:color w:val="2C5AA0"/>
          <w:sz w:val="28"/>
          <w:szCs w:val="28"/>
        </w:rPr>
        <w:t xml:space="preserve">Opdracht 27.5 — Je eigen "vangnet"-idee (10 min, individueel, huiswerk)</w:t>
      </w:r>
    </w:p>
    <w:p>
      <w:pPr>
        <w:spacing w:after="140" w:line="300"/>
      </w:pPr>
      <w:r>
        <w:rPr>
          <w:rFonts w:ascii="Calibri" w:cs="Calibri" w:eastAsia="Calibri" w:hAnsi="Calibri"/>
          <w:sz w:val="22"/>
          <w:szCs w:val="22"/>
        </w:rPr>
        <w:t xml:space="preserve">Bedenk een andere structurele toets (naast de IFRS17/FPSL-toets) die in je eigen werk relevante, licht over het hoofd geziene aspecten standaard zou kunnen "vangen."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Welke twee lenzen brengt dit deel samen? A. Fit en gap. B. Boeking (deel 15) en rapportagevraag (deel 21). C. Klassiek en S/4HANA. D. Signaleren en beoordelen. 2. Wat meet IFRS17 in essentie? A. Alleen de premie. B. De waarde van een verzekeringscontract over tijd, niet als simpele optelsom. C. Alleen de uitkering. D. De transactiesnelheid. 3. Wat is FPSL? A. Een testframework. B. SAP's technische ondersteuning voor IFRS17-berekening en -rapportage. C. Een type BTX. D. Een fraudetool. 4. Wat hoeft een BA niet te weten over IFRS17? A. Wanneer de vraag te stellen. B. De precieze berekeningsmethodiek. C. Dat het bestaat. D. Dat het relevant is voor polissen. 5. Welke gebeurtenis verdient de toets doorgaans niet? A. Een premievrijstelling. B. Een administratieve wijziging zonder premie-effect, zoals een telefoonnummerwijziging. C. Een polisbeëindiging. D. Een Universal Change. 6. Wat is de eerste vraag van de tweetraps-toets? A. De rapportagevraag. B. De boekingsvraag. C. Een fraudevraag. D. Een testvraag. 7. Wat is de tweede vraag van de tweetraps-toets? A. De boekingsvraag. B. De rapportagevraag. C. Een determinatievraag. D. Een documentflow-vraag. 8. Wat illustreert de historische kortingsregel in dit deel? A. Niets nieuws. B. Iets dat relevant was maar nergens systematisch werd bevraagd, totdat het toevallig werd ontdekt. C. Dat BRFplus altijd fout is. D. Dat custom code altijd de beste keuze is. 9. Wat blijft specialistenwerk, ook na deze toets? A. Het signaleren van de vraag. B. De precieze berekening en actuariële aannames. C. Het herkennen van een boeking. D. Niets, alles wordt BA-werk. 10. Wat is de grens van de BA-rol bij IFRS17/FPSL, vergelijkbaar met welk ander onderwerp? A. Debugging. B. Fraude-signalering (deel 14 §5.2) — signaleren, niet zelf beoordelen. C. Documentflow. D. Transporten.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2026-08-16T20:12:57.977Z</dcterms:created>
  <dcterms:modified xsi:type="dcterms:W3CDTF">2026-08-16T20:12:57.977Z</dcterms:modified>
</cp:coreProperties>
</file>

<file path=docProps/custom.xml><?xml version="1.0" encoding="utf-8"?>
<Properties xmlns="http://schemas.openxmlformats.org/officeDocument/2006/custom-properties" xmlns:vt="http://schemas.openxmlformats.org/officeDocument/2006/docPropsVTypes"/>
</file>