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28 — Wtp als toepassingslaag</w:t>
      </w:r>
    </w:p>
    <w:p>
      <w:pPr>
        <w:spacing w:after="300"/>
      </w:pPr>
      <w:r>
        <w:rPr>
          <w:rFonts w:ascii="Calibri" w:cs="Calibri" w:eastAsia="Calibri" w:hAnsi="Calibri"/>
          <w:i/>
          <w:iCs/>
          <w:color w:val="2C5AA0"/>
          <w:sz w:val="22"/>
          <w:szCs w:val="22"/>
        </w:rPr>
        <w:t xml:space="preserve">Docentenhandleiding · Niveau 3 Expert · Cursus SAP voor Business Analysts · Ductus</w:t>
      </w:r>
    </w:p>
    <w:p>
      <w:pPr>
        <w:pStyle w:val="Heading2"/>
        <w:spacing w:after="120" w:before="200"/>
      </w:pPr>
      <w:r>
        <w:rPr>
          <w:rFonts w:ascii="Georgia" w:cs="Georgia" w:eastAsia="Georgia" w:hAnsi="Georgia"/>
          <w:b/>
          <w:bCs/>
          <w:color w:val="2C5AA0"/>
          <w:sz w:val="28"/>
          <w:szCs w:val="28"/>
        </w:rPr>
        <w:t xml:space="preserve">1. Bedoeling van dit deel</w:t>
      </w:r>
    </w:p>
    <w:p>
      <w:pPr>
        <w:spacing w:after="140" w:line="300"/>
      </w:pPr>
      <w:r>
        <w:rPr>
          <w:rFonts w:ascii="Calibri" w:cs="Calibri" w:eastAsia="Calibri" w:hAnsi="Calibri"/>
          <w:sz w:val="22"/>
          <w:szCs w:val="22"/>
        </w:rPr>
        <w:t xml:space="preserve">Dit deel is één van de nieuwe onderdelen uit deze cursus, direct geput uit de eigen praktijk van de opdrachtgever (BA bij een pensioenverzekeraar). Het brengt meerdere eerdere lessen (stamgegevens, documentflow, IFRS17/FPSL) samen onder verhoogde inzet — behandel het daarom als een synthesedeel met nieuwe, scherpe context, niet als een geheel nieuw onderwerp.</w:t>
      </w:r>
    </w:p>
    <w:p>
      <w:pPr>
        <w:spacing w:after="140" w:line="300"/>
      </w:pPr>
      <w:r>
        <w:rPr>
          <w:rFonts w:ascii="Calibri" w:cs="Calibri" w:eastAsia="Calibri" w:hAnsi="Calibri"/>
          <w:sz w:val="22"/>
          <w:szCs w:val="22"/>
        </w:rPr>
        <w:t xml:space="preserve">Eén zin om te onthouden: de foutmarge die bij een reguliere BTX bestaat, bestaat bij invaren niet.</w:t>
      </w:r>
    </w:p>
    <w:p>
      <w:pPr>
        <w:pStyle w:val="Heading2"/>
        <w:spacing w:after="120" w:before="200"/>
      </w:pPr>
      <w:r>
        <w:rPr>
          <w:rFonts w:ascii="Georgia" w:cs="Georgia" w:eastAsia="Georgia" w:hAnsi="Georgia"/>
          <w:b/>
          <w:bCs/>
          <w:color w:val="2C5AA0"/>
          <w:sz w:val="28"/>
          <w:szCs w:val="28"/>
        </w:rPr>
        <w:t xml:space="preserve">2. Programma dagdeel (3 uur, twee pauzes)</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Een ander soort wijziging (reader §1)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verhalend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Invaren versus Universal Change (reader §3) + opdracht 28.1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 individueel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0:40–1:10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Welke vraagstukken wegen extra zwaar (reader §4) + opdracht 28.2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 tweetallen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1:10–1:20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1:20–1:55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28.3 de checklist toepassen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groepjes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1:55–2:15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28.4 de foutmarge die niet bestaat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2:15–2:25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2:25–2:55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Nabespreking, synthese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2:55–3:00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 vooruitblik deel 29</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bl>
    <w:p>
      <w:pPr>
        <w:spacing w:after="140" w:line="300"/>
      </w:pPr>
      <w:r>
        <w:rPr>
          <w:rFonts w:ascii="Calibri" w:cs="Calibri" w:eastAsia="Calibri" w:hAnsi="Calibri"/>
          <w:sz w:val="22"/>
          <w:szCs w:val="22"/>
        </w:rPr>
        <w:t xml:space="preserve">Opdracht 28.5 huiswerk.</w:t>
      </w:r>
    </w:p>
    <w:p>
      <w:pPr>
        <w:pStyle w:val="Heading2"/>
        <w:spacing w:after="120" w:before="200"/>
      </w:pPr>
      <w:r>
        <w:rPr>
          <w:rFonts w:ascii="Georgia" w:cs="Georgia" w:eastAsia="Georgia" w:hAnsi="Georgia"/>
          <w:b/>
          <w:bCs/>
          <w:color w:val="2C5AA0"/>
          <w:sz w:val="28"/>
          <w:szCs w:val="28"/>
        </w:rPr>
        <w:t xml:space="preserve">3. Aandachtspunten</w:t>
      </w:r>
    </w:p>
    <w:p>
      <w:pPr>
        <w:spacing w:after="140" w:line="300"/>
      </w:pPr>
      <w:r>
        <w:rPr>
          <w:rFonts w:ascii="Calibri" w:cs="Calibri" w:eastAsia="Calibri" w:hAnsi="Calibri"/>
          <w:sz w:val="22"/>
          <w:szCs w:val="22"/>
        </w:rPr>
        <w:t xml:space="preserve">Bij opdracht 28.3, dit is de kernoefening — bewaak dat groepen concrete acties formuleren, niet alleen de vragen herhalen. Wees je bewust dat dit deel emotioneel zwaarder kan aanvoelen dan andere delen — de onomkeerbaarheid van invaren roept bij sommige deelnemers oprechte zorg op, vooral als zij zelf in de pensioensector werken. Geef daar ruimte voor in de discussie.</w:t>
      </w:r>
    </w:p>
    <w:p>
      <w:pPr>
        <w:pStyle w:val="Heading2"/>
        <w:spacing w:after="120" w:before="200"/>
      </w:pPr>
      <w:r>
        <w:rPr>
          <w:rFonts w:ascii="Georgia" w:cs="Georgia" w:eastAsia="Georgia" w:hAnsi="Georgia"/>
          <w:b/>
          <w:bCs/>
          <w:color w:val="2C5AA0"/>
          <w:sz w:val="28"/>
          <w:szCs w:val="28"/>
        </w:rPr>
        <w:t xml:space="preserve">4. Veelgestelde vragen</w:t>
      </w:r>
    </w:p>
    <w:p>
      <w:pPr>
        <w:spacing w:after="140" w:line="300"/>
      </w:pPr>
      <w:r>
        <w:rPr>
          <w:rFonts w:ascii="Calibri" w:cs="Calibri" w:eastAsia="Calibri" w:hAnsi="Calibri"/>
          <w:sz w:val="22"/>
          <w:szCs w:val="22"/>
        </w:rPr>
        <w:t xml:space="preserve">"Is Meridiaan al bezig met invaren?" Buiten de scope van dit deel om als vaststaand feit te presenteren — de casus laat bewust open of en wanneer dit concreet wordt, om de aandacht op de vraagstukken te houden in plaats van op een specifieke tijdlijn.</w:t>
      </w:r>
    </w:p>
    <w:p>
      <w:pPr>
        <w:pStyle w:val="Heading2"/>
        <w:spacing w:after="120" w:before="200"/>
      </w:pPr>
      <w:r>
        <w:rPr>
          <w:rFonts w:ascii="Georgia" w:cs="Georgia" w:eastAsia="Georgia" w:hAnsi="Georgia"/>
          <w:b/>
          <w:bCs/>
          <w:color w:val="2C5AA0"/>
          <w:sz w:val="28"/>
          <w:szCs w:val="28"/>
        </w:rPr>
        <w:t xml:space="preserve">5. Benodigdheden</w:t>
      </w:r>
    </w:p>
    <w:p>
      <w:pPr>
        <w:spacing w:after="140" w:line="300"/>
      </w:pPr>
      <w:r>
        <w:rPr>
          <w:rFonts w:ascii="Calibri" w:cs="Calibri" w:eastAsia="Calibri" w:hAnsi="Calibri"/>
          <w:sz w:val="22"/>
          <w:szCs w:val="22"/>
        </w:rPr>
        <w:t xml:space="preserve">Casusdossier-aanvulling SAP, slidedeck deel 28.</w:t>
      </w:r>
    </w:p>
    <w:p>
      <w:pPr>
        <w:pStyle w:val="Heading2"/>
        <w:spacing w:after="120" w:before="200"/>
      </w:pPr>
      <w:r>
        <w:rPr>
          <w:rFonts w:ascii="Georgia" w:cs="Georgia" w:eastAsia="Georgia" w:hAnsi="Georgia"/>
          <w:b/>
          <w:bCs/>
          <w:color w:val="2C5AA0"/>
          <w:sz w:val="28"/>
          <w:szCs w:val="28"/>
        </w:rPr>
        <w:t xml:space="preserve">6. Voorbereiding op deel 29</w:t>
      </w:r>
    </w:p>
    <w:p>
      <w:pPr>
        <w:spacing w:after="140" w:line="300"/>
      </w:pPr>
      <w:r>
        <w:rPr>
          <w:rFonts w:ascii="Calibri" w:cs="Calibri" w:eastAsia="Calibri" w:hAnsi="Calibri"/>
          <w:sz w:val="22"/>
          <w:szCs w:val="22"/>
        </w:rPr>
        <w:t xml:space="preserve">Deel 29 (Governance &amp; auditeerbaarheid) bouwt rechtstreeks voort op §4.1 van dit deel (documentflow en auditeerbaarheid bij invaren).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3 Expert · Deel 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2026-08-16T20:12:58.874Z</dcterms:created>
  <dcterms:modified xsi:type="dcterms:W3CDTF">2026-08-16T20:12:58.874Z</dcterms:modified>
</cp:coreProperties>
</file>

<file path=docProps/custom.xml><?xml version="1.0" encoding="utf-8"?>
<Properties xmlns="http://schemas.openxmlformats.org/officeDocument/2006/custom-properties" xmlns:vt="http://schemas.openxmlformats.org/officeDocument/2006/docPropsVTypes"/>
</file>