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28 — Wtp als toepassingslaag</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28.1 — Universal Change of invaren? (10 min, individueel)</w:t>
      </w:r>
    </w:p>
    <w:p>
      <w:pPr>
        <w:pStyle w:val="ListParagraph"/>
        <w:numPr>
          <w:ilvl w:val="0"/>
          <w:numId w:val="1"/>
        </w:numPr>
        <w:spacing w:after="80"/>
      </w:pPr>
      <w:r>
        <w:rPr>
          <w:rFonts w:ascii="Calibri" w:cs="Calibri" w:eastAsia="Calibri" w:hAnsi="Calibri"/>
          <w:sz w:val="22"/>
          <w:szCs w:val="22"/>
        </w:rPr>
        <w:t xml:space="preserve">Een jaarlijkse premie-indexatie voor alle polissen van een productvariant.</w:t>
      </w:r>
    </w:p>
    <w:p>
      <w:pPr>
        <w:pStyle w:val="ListParagraph"/>
        <w:numPr>
          <w:ilvl w:val="0"/>
          <w:numId w:val="1"/>
        </w:numPr>
        <w:spacing w:after="80"/>
      </w:pPr>
      <w:r>
        <w:rPr>
          <w:rFonts w:ascii="Calibri" w:cs="Calibri" w:eastAsia="Calibri" w:hAnsi="Calibri"/>
          <w:sz w:val="22"/>
          <w:szCs w:val="22"/>
        </w:rPr>
        <w:t xml:space="preserve">De eenmalige omzetting van pensioenaanspraken naar het Wtp-stelsel.</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Universal Change — herhaalbaar, corrigeerbaar. b. Invaren — eenmalig, (vrijwel) onomkeerbaar.</w:t>
            </w:r>
          </w:p>
        </w:tc>
      </w:tr>
    </w:tbl>
    <w:p>
      <w:pPr>
        <w:pStyle w:val="Heading2"/>
        <w:spacing w:after="120" w:before="200"/>
      </w:pPr>
      <w:r>
        <w:rPr>
          <w:rFonts w:ascii="Georgia" w:cs="Georgia" w:eastAsia="Georgia" w:hAnsi="Georgia"/>
          <w:b/>
          <w:bCs/>
          <w:color w:val="2C5AA0"/>
          <w:sz w:val="28"/>
          <w:szCs w:val="28"/>
        </w:rPr>
        <w:t xml:space="preserve">Opdracht 28.2 — Waarom weegt dit extra zwaar? (15 min, tweetallen)</w:t>
      </w:r>
    </w:p>
    <w:p>
      <w:pPr>
        <w:spacing w:after="140" w:line="300"/>
      </w:pPr>
      <w:r>
        <w:rPr>
          <w:rFonts w:ascii="Calibri" w:cs="Calibri" w:eastAsia="Calibri" w:hAnsi="Calibri"/>
          <w:sz w:val="22"/>
          <w:szCs w:val="22"/>
        </w:rPr>
        <w:t xml:space="preserve">Leg voor elk van de drie vraagstukken uit reader §4 (documentflow/auditeerbaarheid, stamgegevens, IFRS17/FPSL) uit waarom invaren de inzet verhoogt ten opzichte van een reguliere BTX.</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Documentflow/auditeerbaarheid: bij invaren moet elke aanspraak aantoonbaar correct zijn overgezet, zonder de mogelijkheid later "het proces nog eens te doorlopen." Stamgegevens: een fout die normaal één polis raakt, raakt bij invaren mogelijk honderden aanspraken tegelijk en definitief. IFRS17/FPSL: invaren verandert per definitie de verwachte toekomstige waarde van elke aanspraak — de toets is hier nooit optioneel.</w:t>
            </w:r>
          </w:p>
        </w:tc>
      </w:tr>
    </w:tbl>
    <w:p>
      <w:pPr>
        <w:pStyle w:val="Heading2"/>
        <w:spacing w:after="120" w:before="200"/>
      </w:pPr>
      <w:r>
        <w:rPr>
          <w:rFonts w:ascii="Georgia" w:cs="Georgia" w:eastAsia="Georgia" w:hAnsi="Georgia"/>
          <w:b/>
          <w:bCs/>
          <w:color w:val="2C5AA0"/>
          <w:sz w:val="28"/>
          <w:szCs w:val="28"/>
        </w:rPr>
        <w:t xml:space="preserve">Opdracht 28.3 — De checklist toepassen (20 min, groepjes van drie)</w:t>
      </w:r>
    </w:p>
    <w:p>
      <w:pPr>
        <w:spacing w:after="140" w:line="300"/>
      </w:pPr>
      <w:r>
        <w:rPr>
          <w:rFonts w:ascii="Calibri" w:cs="Calibri" w:eastAsia="Calibri" w:hAnsi="Calibri"/>
          <w:sz w:val="22"/>
          <w:szCs w:val="22"/>
        </w:rPr>
        <w:t xml:space="preserve">Stel je voor dat Meridiaan een invaartraject voor één van de twee pensioenfondsen voorbereidt. Werk de vier checklistpunten uit reader §5 uit tot concrete acties (niet alleen vragen herhalen, maar een korte actie erbij).</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1. Stamgegevenskwaliteit: voer een systematische duplicaat-/verouderd-gegeven-controle uit (↗ deel 4 §6) vóór de omzettingsdatum.</w:t>
            </w:r>
          </w:p>
          <w:p>
            <w:pPr>
              <w:spacing w:after="100" w:line="280"/>
            </w:pPr>
            <w:r>
              <w:rPr>
                <w:rFonts w:ascii="Calibri" w:cs="Calibri" w:eastAsia="Calibri" w:hAnsi="Calibri"/>
                <w:sz w:val="22"/>
                <w:szCs w:val="22"/>
              </w:rPr>
              <w:t xml:space="preserve">2. Documentflow: richt een traceerbare koppeling in tussen elke oude aanspraak en de nieuwe, met een aparte controlerapportage.</w:t>
            </w:r>
          </w:p>
          <w:p>
            <w:pPr>
              <w:spacing w:after="100" w:line="280"/>
            </w:pPr>
            <w:r>
              <w:rPr>
                <w:rFonts w:ascii="Calibri" w:cs="Calibri" w:eastAsia="Calibri" w:hAnsi="Calibri"/>
                <w:sz w:val="22"/>
                <w:szCs w:val="22"/>
              </w:rPr>
              <w:t xml:space="preserve">3. IFRS17/FPSL: plan een gezamenlijke sessie met finance ruim vóór de omzettingsdatum, niet erna.</w:t>
            </w:r>
          </w:p>
          <w:p>
            <w:pPr>
              <w:spacing w:after="100" w:line="280"/>
            </w:pPr>
            <w:r>
              <w:rPr>
                <w:rFonts w:ascii="Calibri" w:cs="Calibri" w:eastAsia="Calibri" w:hAnsi="Calibri"/>
                <w:sz w:val="22"/>
                <w:szCs w:val="22"/>
              </w:rPr>
              <w:t xml:space="preserve">4. Fouten na omzetting: leg vooraf een escalatie- en correctieprocedure vast, expliciet goedgekeurd door de business, in plaats van deze pas te bedenken als er daadwerkelijk een fout wordt gevonden.</w:t>
            </w:r>
          </w:p>
        </w:tc>
      </w:tr>
    </w:tbl>
    <w:p>
      <w:pPr>
        <w:pStyle w:val="Heading2"/>
        <w:spacing w:after="120" w:before="200"/>
      </w:pPr>
      <w:r>
        <w:rPr>
          <w:rFonts w:ascii="Georgia" w:cs="Georgia" w:eastAsia="Georgia" w:hAnsi="Georgia"/>
          <w:b/>
          <w:bCs/>
          <w:color w:val="2C5AA0"/>
          <w:sz w:val="28"/>
          <w:szCs w:val="28"/>
        </w:rPr>
        <w:t xml:space="preserve">Opdracht 28.4 — De foutmarge die niet bestaat (10 min, individueel)</w:t>
      </w:r>
    </w:p>
    <w:p>
      <w:pPr>
        <w:spacing w:after="140" w:line="300"/>
      </w:pPr>
      <w:r>
        <w:rPr>
          <w:rFonts w:ascii="Calibri" w:cs="Calibri" w:eastAsia="Calibri" w:hAnsi="Calibri"/>
          <w:sz w:val="22"/>
          <w:szCs w:val="22"/>
        </w:rPr>
        <w:t xml:space="preserve">Leg in eigen woorden uit wat reader §3, kernzin, bedoelt met "de foutmarge die bij een reguliere BTX bestaat, bestaat hier niet."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 een reguliere BTX (bijvoorbeeld een adreswijziging) kan een fout later worden gecorrigeerd zonder grote gevolgen — er is een impliciete foutmarge omdat correctie mogelijk blijft. Bij invaren is de omzetting eenmalig en vrijwel onomkeerbaar: een fout die achteraf wordt ontdekt, kan niet zomaar "gewoon opnieuw" worden gedaan, waardoor er feitelijk geen ingebouwde foutmarge is.</w:t>
            </w:r>
          </w:p>
        </w:tc>
      </w:tr>
    </w:tbl>
    <w:p>
      <w:pPr>
        <w:pStyle w:val="Heading2"/>
        <w:spacing w:after="120" w:before="200"/>
      </w:pPr>
      <w:r>
        <w:rPr>
          <w:rFonts w:ascii="Georgia" w:cs="Georgia" w:eastAsia="Georgia" w:hAnsi="Georgia"/>
          <w:b/>
          <w:bCs/>
          <w:color w:val="2C5AA0"/>
          <w:sz w:val="28"/>
          <w:szCs w:val="28"/>
        </w:rPr>
        <w:t xml:space="preserve">Opdracht 28.5 — Je eigen onomkeerbare gebeurtenis (10 min, individueel, huiswerk)</w:t>
      </w:r>
    </w:p>
    <w:p>
      <w:pPr>
        <w:spacing w:after="140" w:line="300"/>
      </w:pPr>
      <w:r>
        <w:rPr>
          <w:rFonts w:ascii="Calibri" w:cs="Calibri" w:eastAsia="Calibri" w:hAnsi="Calibri"/>
          <w:sz w:val="22"/>
          <w:szCs w:val="22"/>
        </w:rPr>
        <w:t xml:space="preserve">Bedenk een voorbeeld uit je eigen werk (kan buiten SAP en buiten pensioenen) van een eenmalige, moeilijk terug te draaien gebeurtenis. Welke voorbereiding zou daar cruciaal zijn geweest?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invaren? A. Een reguliere jaarlijkse indexatie. B. De eenmalige overgang van bestaande pensioenaanspraken naar het Wtp-stelsel. C. Een type BTX-categorie zoals Change. D. Een testmethode. 2. Wat is het belangrijkste verschil tussen invaren en een reguliere Universal Change? A. Geen verschil. B. Invaren is eenmalig en vrijwel onomkeerbaar; Universal Change is herhaalbaar en corrigeerbaar. C. Universal Change is onomkeerbaar. D. Invaren is elk jaar terugkerend. 3. Waarom weegt stamgegevenskwaliteit extra zwaar bij invaren? A. Geen reden. B. Een fout kan honderden aanspraken tegelijk en definitief raken. C. Stamgegevens zijn irrelevant bij invaren. D. Invaren gebruikt geen stamgegevens. 4. Waarom is de IFRS17/FPSL-toets bij invaren nooit optioneel? A. Dat is hij wel. B. Invaren verandert per definitie de verwachte toekomstige waarde van elke aanspraak. C. IFRS17 is niet van toepassing op pensioenen. D. De toets geldt alleen bij FS-CM. 5. Wat hoort bij checklistpunt 4 (reader §5)? A. Niets. B. Een expliciet, vooraf vastgelegd antwoord op "wat doen we als er ná de omzetting toch een fout wordt ontdekt." C. Alleen een technisch testplan. D. Een certificeringsexamen. 6. Wat is de bron voor dit deel, volgens reader §2? A. Een fictief scenario zonder praktijkbasis. B. Pieters eigen dagelijkse praktijk als BA bij een pensioenverzekeraar. C. Alleen de testcursus. D. Alleen SAP-documentatie. 7. Wat betekent "de foutmarge die bij een reguliere BTX bestaat, bestaat hier niet"? A. Er zijn nooit fouten mogelijk. B. Correctie achteraf is bij invaren niet vanzelfsprekend mogelijk, in tegenstelling tot bij een reguliere BTX. C. Fouten bij invaren zijn onbelangrijk. D. Er is geen verschil met een reguliere BTX. 8. Wat toetst een BA vóór een invaartraject, volgens dit deel? A. Niets, dit is puur technisch werk. B. Stamgegevenskwaliteit, documentflow, IFRS17/FPSL, en een correctieprocedure — allemaal vooraf. C. Alleen de systeemperformance. D. Alleen de wetstekst. 9. Waarom voert Meridiaan Wtp-administratie? A. Meridiaan is geen verzekeraar. B. Meridiaan voert naast verzekeringsregelingen ook de administratie voor twee pensioenfondsen. C. Wtp is niet relevant voor Meridiaan. D. Dit is fictief en niet gebaseerd op de casus. 10. Wat is de relatie tussen dit deel en deel 29 (governance &amp; auditeerbaarheid)? A. Geen relatie. B. Auditeerbaarheid is direct relevant voor het aantoonbaar correct overzetten van aanspraken bij invaren. C. Deel 29 gaat niet over documentflow. D. Dit deel vervangt deel 29.</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2026-08-16T20:12:58.857Z</dcterms:created>
  <dcterms:modified xsi:type="dcterms:W3CDTF">2026-08-16T20:12:58.857Z</dcterms:modified>
</cp:coreProperties>
</file>

<file path=docProps/custom.xml><?xml version="1.0" encoding="utf-8"?>
<Properties xmlns="http://schemas.openxmlformats.org/officeDocument/2006/custom-properties" xmlns:vt="http://schemas.openxmlformats.org/officeDocument/2006/docPropsVTypes"/>
</file>