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29 — Governance &amp; auditeerbaarheid</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29.1 — Autorisatie of correctheid? (10 min, individueel)</w:t>
      </w:r>
    </w:p>
    <w:p>
      <w:pPr>
        <w:pStyle w:val="ListParagraph"/>
        <w:numPr>
          <w:ilvl w:val="0"/>
          <w:numId w:val="1"/>
        </w:numPr>
        <w:spacing w:after="80"/>
      </w:pPr>
      <w:r>
        <w:rPr>
          <w:rFonts w:ascii="Calibri" w:cs="Calibri" w:eastAsia="Calibri" w:hAnsi="Calibri"/>
          <w:sz w:val="22"/>
          <w:szCs w:val="22"/>
        </w:rPr>
        <w:t xml:space="preserve">Een configuratiewijziging is technisch onberispelijk, maar niemand heeft haar formeel goedgekeurd.</w:t>
      </w:r>
    </w:p>
    <w:p>
      <w:pPr>
        <w:pStyle w:val="ListParagraph"/>
        <w:numPr>
          <w:ilvl w:val="0"/>
          <w:numId w:val="1"/>
        </w:numPr>
        <w:spacing w:after="80"/>
      </w:pPr>
      <w:r>
        <w:rPr>
          <w:rFonts w:ascii="Calibri" w:cs="Calibri" w:eastAsia="Calibri" w:hAnsi="Calibri"/>
          <w:sz w:val="22"/>
          <w:szCs w:val="22"/>
        </w:rPr>
        <w:t xml:space="preserve">Een configuratiewijziging bevat een fout, maar is correct doorlopen via het autorisatiepad.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Governance-probleem (autorisatie ontbreekt), geen technisch probleem. b. Technisch probleem (fout), geen governance-probleem (het proces zelf werkte).</w:t>
            </w:r>
          </w:p>
        </w:tc>
      </w:tr>
    </w:tbl>
    <w:p>
      <w:pPr>
        <w:pStyle w:val="Heading2"/>
        <w:spacing w:after="120" w:before="200"/>
      </w:pPr>
      <w:r>
        <w:rPr>
          <w:rFonts w:ascii="Georgia" w:cs="Georgia" w:eastAsia="Georgia" w:hAnsi="Georgia"/>
          <w:b/>
          <w:bCs/>
          <w:color w:val="2C5AA0"/>
          <w:sz w:val="28"/>
          <w:szCs w:val="28"/>
        </w:rPr>
        <w:t xml:space="preserve">Opdracht 29.2 — Drie bouwstenen koppelen (10 min, individueel)</w:t>
      </w:r>
    </w:p>
    <w:p>
      <w:pPr>
        <w:spacing w:after="140" w:line="300"/>
      </w:pPr>
      <w:r>
        <w:rPr>
          <w:rFonts w:ascii="Calibri" w:cs="Calibri" w:eastAsia="Calibri" w:hAnsi="Calibri"/>
          <w:sz w:val="22"/>
          <w:szCs w:val="22"/>
        </w:rPr>
        <w:t xml:space="preserve">Koppel elke vraag aan de juiste bouwsteen uit reader §4: BTX, documentflow, of logbestanden.</w:t>
      </w:r>
    </w:p>
    <w:p>
      <w:pPr>
        <w:pStyle w:val="ListParagraph"/>
        <w:numPr>
          <w:ilvl w:val="0"/>
          <w:numId w:val="1"/>
        </w:numPr>
        <w:spacing w:after="80"/>
      </w:pPr>
      <w:r>
        <w:rPr>
          <w:rFonts w:ascii="Calibri" w:cs="Calibri" w:eastAsia="Calibri" w:hAnsi="Calibri"/>
          <w:sz w:val="22"/>
          <w:szCs w:val="22"/>
        </w:rPr>
        <w:t xml:space="preserve">"Wat is er precies gebeurd met deze polis?"</w:t>
      </w:r>
    </w:p>
    <w:p>
      <w:pPr>
        <w:pStyle w:val="ListParagraph"/>
        <w:numPr>
          <w:ilvl w:val="0"/>
          <w:numId w:val="1"/>
        </w:numPr>
        <w:spacing w:after="80"/>
      </w:pPr>
      <w:r>
        <w:rPr>
          <w:rFonts w:ascii="Calibri" w:cs="Calibri" w:eastAsia="Calibri" w:hAnsi="Calibri"/>
          <w:sz w:val="22"/>
          <w:szCs w:val="22"/>
        </w:rPr>
        <w:t xml:space="preserve">"Hoe hangt deze claim samen met de oorspronkelijke polis?"</w:t>
      </w:r>
    </w:p>
    <w:p>
      <w:pPr>
        <w:pStyle w:val="ListParagraph"/>
        <w:numPr>
          <w:ilvl w:val="0"/>
          <w:numId w:val="1"/>
        </w:numPr>
        <w:spacing w:after="80"/>
      </w:pPr>
      <w:r>
        <w:rPr>
          <w:rFonts w:ascii="Calibri" w:cs="Calibri" w:eastAsia="Calibri" w:hAnsi="Calibri"/>
          <w:sz w:val="22"/>
          <w:szCs w:val="22"/>
        </w:rPr>
        <w:t xml:space="preserve">"Wat deed het systeem daadwerkelijk, los van wat bedoeld was?"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BTX. b. Documentflow. c. Logbestanden.</w:t>
            </w:r>
          </w:p>
        </w:tc>
      </w:tr>
    </w:tbl>
    <w:p>
      <w:pPr>
        <w:pStyle w:val="Heading2"/>
        <w:spacing w:after="120" w:before="200"/>
      </w:pPr>
      <w:r>
        <w:rPr>
          <w:rFonts w:ascii="Georgia" w:cs="Georgia" w:eastAsia="Georgia" w:hAnsi="Georgia"/>
          <w:b/>
          <w:bCs/>
          <w:color w:val="2C5AA0"/>
          <w:sz w:val="28"/>
          <w:szCs w:val="28"/>
        </w:rPr>
        <w:t xml:space="preserve">Opdracht 29.3 — Hakims vraag beantwoorden (20 min, groepjes van drie)</w:t>
      </w:r>
    </w:p>
    <w:p>
      <w:pPr>
        <w:spacing w:after="140" w:line="300"/>
      </w:pPr>
      <w:r>
        <w:rPr>
          <w:rFonts w:ascii="Calibri" w:cs="Calibri" w:eastAsia="Calibri" w:hAnsi="Calibri"/>
          <w:sz w:val="22"/>
          <w:szCs w:val="22"/>
        </w:rPr>
        <w:t xml:space="preserve">Bereid een antwoord voor op Hakims vraag uit reader §1, toegepast op de historische kortingsregel (deel 5, 12, 26, 27). Wie besloot dat deze regel zo mocht worden ingericht, en is dat aantoonbaar?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Waarschijnlijk antwoord: nee, niet aantoonbaar — dat is precies de kern van waarom niemand meer kon uitleggen waarom de regel bestond (deel 1 §1, deel 4-5). Dit is een goed moment om de casus expliciet te herzien: had een goed autorisatiepad met vastgelegde beargumentering dit probleem kunnen voorkomen?</w:t>
            </w:r>
          </w:p>
        </w:tc>
      </w:tr>
    </w:tbl>
    <w:p>
      <w:pPr>
        <w:pStyle w:val="Heading2"/>
        <w:spacing w:after="120" w:before="200"/>
      </w:pPr>
      <w:r>
        <w:rPr>
          <w:rFonts w:ascii="Georgia" w:cs="Georgia" w:eastAsia="Georgia" w:hAnsi="Georgia"/>
          <w:b/>
          <w:bCs/>
          <w:color w:val="2C5AA0"/>
          <w:sz w:val="28"/>
          <w:szCs w:val="28"/>
        </w:rPr>
        <w:t xml:space="preserve">Opdracht 29.4 — De "waarom" vastleggen (15 min, individueel)</w:t>
      </w:r>
    </w:p>
    <w:p>
      <w:pPr>
        <w:spacing w:after="140" w:line="300"/>
      </w:pPr>
      <w:r>
        <w:rPr>
          <w:rFonts w:ascii="Calibri" w:cs="Calibri" w:eastAsia="Calibri" w:hAnsi="Calibri"/>
          <w:sz w:val="22"/>
          <w:szCs w:val="22"/>
        </w:rPr>
        <w:t xml:space="preserve">Formuleer, met reader §5 als uitgangspunt, wat een BA zou moeten vastleggen bij het accepteren van een gap (in plaats van uitbreiden, ↗ deel 9 §4.2) voor een nieuwe productvariant.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*"Deze afwijking is geaccepteerd omdat [aantal] polissen worden geraakt, de kosten van uitbreiding niet in verhouding staan tot de impact, en een handmatige workaround is afgesproken met [rol/naam]. Beoordeeld en goedgekeurd door [naam/rol] op [datum]."*</w:t>
            </w:r>
          </w:p>
        </w:tc>
      </w:tr>
    </w:tbl>
    <w:p>
      <w:pPr>
        <w:pStyle w:val="Heading2"/>
        <w:spacing w:after="120" w:before="200"/>
      </w:pPr>
      <w:r>
        <w:rPr>
          <w:rFonts w:ascii="Georgia" w:cs="Georgia" w:eastAsia="Georgia" w:hAnsi="Georgia"/>
          <w:b/>
          <w:bCs/>
          <w:color w:val="2C5AA0"/>
          <w:sz w:val="28"/>
          <w:szCs w:val="28"/>
        </w:rPr>
        <w:t xml:space="preserve">Opdracht 29.5 — Je eigen aantoonbaarheidsvraag (10 min, individueel, huiswerk)</w:t>
      </w:r>
    </w:p>
    <w:p>
      <w:pPr>
        <w:spacing w:after="140" w:line="300"/>
      </w:pPr>
      <w:r>
        <w:rPr>
          <w:rFonts w:ascii="Calibri" w:cs="Calibri" w:eastAsia="Calibri" w:hAnsi="Calibri"/>
          <w:sz w:val="22"/>
          <w:szCs w:val="22"/>
        </w:rPr>
        <w:t xml:space="preserve">Bedenk een beslissing uit je eigen werk waarvan je achteraf niet meer precies kon aantonen wie haar had genomen en waarom. Wat had dat voorkomen?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een autorisatiepad? A. Een type BTX. B. Wie mag voorstellen, beoordelen en goedkeuren, en wanneer transporteren. C. Een rapportagetool. D. Een testmethode. 2. Is een technisch perfecte wijziging zonder juiste autorisatie een probleem? A. Nee, nooit. B. Ja — het is een governance-probleem, ongeacht technische kwaliteit. C. Alleen als het ook technisch fout is. D. Autorisatie is irrelevant. 3. Welke drie bouwstenen vormen de fundering van auditeerbaarheid in dit deel? A. Fit, gap, accepteren. B. BTX, documentflow, logbestanden. C. Customizing, development, extensibility. D. Concept, implementatiedetail, disclaimer. 4. Wat legt het systeem automatisch vast, en wat moet een BA zelf vastleggen? A. Alles wordt automatisch vastgelegd. B. Het systeem legt vast wát er gebeurde; de BA legt vast waaróm een keuze is gemaakt. C. Niets wordt automatisch vastgelegd. D. De BA hoeft niets vast te leggen. 5. Wat is Hakims vraag, vertaald naar deze cursus? A. "Is de configuratie technisch correct?" B. "Is het configuratie- en wijzigingsproces zelf betrouwbaar?" C. "Wat kost dit?" D. "Wie is de BA?" 6. Wat illustreerde de historische kortingsregel in opdracht 29.3? A. Niets nieuws. B. Dat zonder aantoonbare beargumentering niemand meer kon uitleggen waarom de regel bestond. C. Dat BRFplus altijd de juiste keuze is. D. Dat autorisatie niet relevant is. 7. Wat draagt de masterproef in deel 30, volgens reader §6? A. Niets uit dit deel. B. De governance-vraag: was het proces dat tot een uitkomst leidde aantoonbaar betrouwbaar? C. Alleen technische stof. D. Alleen certificeringsvragen. 8. Wat is de rol van logbestanden bij auditeerbaarheid? A. Geen rol. B. Zij tonen wat het systeem daadwerkelijk deed, los van wat bedoeld was. C. Logbestanden zijn alleen voor debugging (deel 25), niet voor audit. D. Logbestanden worden nooit bewaard. 9. Is autorisatie een concept of een implementatiedetail (↗ deel 1 §4.3)? A. Geen van beide. B. Het patroon (voorstellen-beoordelen-goedkeuren-vastleggen) is een concept; de precieze inrichting is een implementatiedetail. C. Alleen implementatiedetail. D. Alleen concept, zonder implementatievariatie. 10. Wat verschuift de centrale vraag in dit deel, ten opzichte van eerdere delen? A. Van "is dit correct" naar "is het proces aantoonbaar betrouwbaar." B. Geen verschuiving. C. Van technisch naar financieel. D. Van BA naar ontwikkelaar.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2026-08-16T20:12:59.709Z</dcterms:created>
  <dcterms:modified xsi:type="dcterms:W3CDTF">2026-08-16T20:12:59.709Z</dcterms:modified>
</cp:coreProperties>
</file>

<file path=docProps/custom.xml><?xml version="1.0" encoding="utf-8"?>
<Properties xmlns="http://schemas.openxmlformats.org/officeDocument/2006/custom-properties" xmlns:vt="http://schemas.openxmlformats.org/officeDocument/2006/docPropsVTypes"/>
</file>