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30 — Masterproef</w:t>
      </w:r>
    </w:p>
    <w:p>
      <w:pPr>
        <w:spacing w:after="300"/>
      </w:pPr>
      <w:r>
        <w:rPr>
          <w:rFonts w:ascii="Calibri" w:cs="Calibri" w:eastAsia="Calibri" w:hAnsi="Calibri"/>
          <w:i/>
          <w:iCs/>
          <w:color w:val="2C5AA0"/>
          <w:sz w:val="22"/>
          <w:szCs w:val="22"/>
        </w:rPr>
        <w:t xml:space="preserve">Docentenhandleiding · Niveau 3 Expert · Cursus SAP voor Business Analysts · Ductus</w:t>
      </w:r>
    </w:p>
    <w:p>
      <w:pPr>
        <w:pStyle w:val="Heading2"/>
        <w:spacing w:after="120" w:before="200"/>
      </w:pPr>
      <w:r>
        <w:rPr>
          <w:rFonts w:ascii="Georgia" w:cs="Georgia" w:eastAsia="Georgia" w:hAnsi="Georgia"/>
          <w:b/>
          <w:bCs/>
          <w:color w:val="2C5AA0"/>
          <w:sz w:val="28"/>
          <w:szCs w:val="28"/>
        </w:rPr>
        <w:t xml:space="preserve">1. Bedoeling van dit deel</w:t>
      </w:r>
    </w:p>
    <w:p>
      <w:pPr>
        <w:spacing w:after="140" w:line="300"/>
      </w:pPr>
      <w:r>
        <w:rPr>
          <w:rFonts w:ascii="Calibri" w:cs="Calibri" w:eastAsia="Calibri" w:hAnsi="Calibri"/>
          <w:sz w:val="22"/>
          <w:szCs w:val="22"/>
        </w:rPr>
        <w:t xml:space="preserve">Dit is het slotdeel van de hele cursus — twee dagdelen, geen nieuwe stof, de volledige toepassing van niveau 1-3. Het scenario is bewust "kouder" dan de meeste eerdere casussen: geen drama vóór een deadline, maar een rustig ontdekte discrepantie ná livegang, die precies daardoor moeilijker te doorgronden is. Bewaak dat deelnemers niet naar een dramatisch "schuldige" zoeken — dat is expliciet niet het punt.</w:t>
      </w:r>
    </w:p>
    <w:p>
      <w:pPr>
        <w:spacing w:after="140" w:line="300"/>
      </w:pPr>
      <w:r>
        <w:rPr>
          <w:rFonts w:ascii="Calibri" w:cs="Calibri" w:eastAsia="Calibri" w:hAnsi="Calibri"/>
          <w:sz w:val="22"/>
          <w:szCs w:val="22"/>
        </w:rPr>
        <w:t xml:space="preserve">Als deelnemers na deze twee dagdelen één zin onthouden, is het deze: een onderbouwd "dit kunnen we niet aantonen, en dít doen we daarom wél" is een beter antwoord dan een geruststellend herstelplan.</w:t>
      </w:r>
    </w:p>
    <w:p>
      <w:pPr>
        <w:pStyle w:val="Heading2"/>
        <w:spacing w:after="120" w:before="200"/>
      </w:pPr>
      <w:r>
        <w:rPr>
          <w:rFonts w:ascii="Georgia" w:cs="Georgia" w:eastAsia="Georgia" w:hAnsi="Georgia"/>
          <w:b/>
          <w:bCs/>
          <w:color w:val="2C5AA0"/>
          <w:sz w:val="28"/>
          <w:szCs w:val="28"/>
        </w:rPr>
        <w:t xml:space="preserve">2. Programma (twee dagdelen)</w:t>
      </w:r>
    </w:p>
    <w:p>
      <w:pPr>
        <w:pStyle w:val="Heading3"/>
        <w:spacing w:after="100" w:before="160"/>
      </w:pPr>
      <w:r>
        <w:rPr>
          <w:rFonts w:ascii="Georgia" w:cs="Georgia" w:eastAsia="Georgia" w:hAnsi="Georgia"/>
          <w:b/>
          <w:bCs/>
          <w:color w:val="1B2A4A"/>
          <w:sz w:val="24"/>
          <w:szCs w:val="24"/>
        </w:rPr>
        <w:t xml:space="preserve">Dagdeel A — schriftelijke voorbereiding</w:t>
      </w:r>
    </w:p>
    <w:p>
      <w:pPr>
        <w:spacing w:after="140" w:line="300"/>
      </w:pPr>
      <w:r>
        <w:rPr>
          <w:rFonts w:ascii="Calibri" w:cs="Calibri" w:eastAsia="Calibri" w:hAnsi="Calibri"/>
          <w:sz w:val="22"/>
          <w:szCs w:val="22"/>
        </w:rPr>
        <w:t xml:space="preserve">Individueel, vooraf, buiten het klassikale programma om — stuur het scenario en de fictieve bronnen (zie §3) minstens twee weken vóór dagdeel B, met een duidelijke inleverdeadline een week voor de boardsimulatie zodat je als docent tijd hebt de rapporten te lezen.</w:t>
      </w:r>
    </w:p>
    <w:p>
      <w:pPr>
        <w:pStyle w:val="Heading3"/>
        <w:spacing w:after="100" w:before="160"/>
      </w:pPr>
      <w:r>
        <w:rPr>
          <w:rFonts w:ascii="Georgia" w:cs="Georgia" w:eastAsia="Georgia" w:hAnsi="Georgia"/>
          <w:b/>
          <w:bCs/>
          <w:color w:val="1B2A4A"/>
          <w:sz w:val="24"/>
          <w:szCs w:val="24"/>
        </w:rPr>
        <w:t xml:space="preserve">Dagdeel B — boardsimulatie (circa half uur voorbereiding + 45 min per groep, afhankelijk van groepsgrootte)</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Herhaling scenario en rubric</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0:15–einde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Boardsimulaties, 45 min per groep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groepjes + rollenspel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laatste 30 min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Nabespreking, cursusafsluiting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bl>
    <w:p>
      <w:pPr>
        <w:pStyle w:val="Heading2"/>
        <w:spacing w:after="120" w:before="200"/>
      </w:pPr>
      <w:r>
        <w:rPr>
          <w:rFonts w:ascii="Georgia" w:cs="Georgia" w:eastAsia="Georgia" w:hAnsi="Georgia"/>
          <w:b/>
          <w:bCs/>
          <w:color w:val="2C5AA0"/>
          <w:sz w:val="28"/>
          <w:szCs w:val="28"/>
        </w:rPr>
        <w:t xml:space="preserve">3. Voorbereiding — fictieve bronnen samenstellen</w:t>
      </w:r>
    </w:p>
    <w:p>
      <w:pPr>
        <w:spacing w:after="140" w:line="300"/>
      </w:pPr>
      <w:r>
        <w:rPr>
          <w:rFonts w:ascii="Calibri" w:cs="Calibri" w:eastAsia="Calibri" w:hAnsi="Calibri"/>
          <w:sz w:val="22"/>
          <w:szCs w:val="22"/>
        </w:rPr>
        <w:t xml:space="preserve">Bouw vóór dagdeel A concrete, consistente fictieve data die de reconstructie mogelijk maken maar niet triviaal maken: een BTX-overzicht, documentflow-koppelingen, logfragmenten en een configuratiedossier die *samen* een aannemelijke (niet met zekerheid aangetoonde) verklaring opleveren — bijvoorbeeld dat de premievrijstellingsregel (deel 21) nooit door de IFRS17/FPSL-toets (deel 27) is gehaald toen zij werd ingevoerd, waardoor een boekingsimplicatie is gemist. Bouw bewust ambiguïteit in: laat de data een sterke aanwijzing geven, geen onomstotelijk bewijs — dat is de kern van de oefening.</w:t>
      </w:r>
    </w:p>
    <w:p>
      <w:pPr>
        <w:pStyle w:val="Heading2"/>
        <w:spacing w:after="120" w:before="200"/>
      </w:pPr>
      <w:r>
        <w:rPr>
          <w:rFonts w:ascii="Georgia" w:cs="Georgia" w:eastAsia="Georgia" w:hAnsi="Georgia"/>
          <w:b/>
          <w:bCs/>
          <w:color w:val="2C5AA0"/>
          <w:sz w:val="28"/>
          <w:szCs w:val="28"/>
        </w:rPr>
        <w:t xml:space="preserve">4. Aandachtspunten</w:t>
      </w:r>
    </w:p>
    <w:p>
      <w:pPr>
        <w:spacing w:after="140" w:line="300"/>
      </w:pPr>
      <w:r>
        <w:rPr>
          <w:rFonts w:ascii="Calibri" w:cs="Calibri" w:eastAsia="Calibri" w:hAnsi="Calibri"/>
          <w:sz w:val="22"/>
          <w:szCs w:val="22"/>
        </w:rPr>
        <w:t xml:space="preserve">Rolverdeling: bereid de vier rollen (CFO, toezichthouder-achtig, IT-architect, externe consultant) zorgvuldig voor, met minstens twee specifieke vragen per rol die inzoomen op zwakke plekken in elk individueel rapport. Deel de helft van de vragen vooraf (reader §3.2), zodat deelnemers zich kunnen voorbereiden, maar bewaar de andere helft om te toetsen of de ladder van zekerheid ook onder onvoorziene druk standhoudt.</w:t>
      </w:r>
    </w:p>
    <w:p>
      <w:pPr>
        <w:spacing w:after="140" w:line="300"/>
      </w:pPr>
      <w:r>
        <w:rPr>
          <w:rFonts w:ascii="Calibri" w:cs="Calibri" w:eastAsia="Calibri" w:hAnsi="Calibri"/>
          <w:sz w:val="22"/>
          <w:szCs w:val="22"/>
        </w:rPr>
        <w:t xml:space="preserve">Bij de nabespreking: benoem geen "winnaar" — beoordeel op de rubric (werkboek), niet op wie het meest overtuigend klonk. Overtuigingskracht zonder onderbouwing is precies het patroon dat deze cursus vanaf deel 1 (het WGP 2.0-rapport in de zustercursus, hier het onbeantwoordbare Rob Hendriks-vraagstuk) heeft willen doorbreken.</w:t>
      </w:r>
    </w:p>
    <w:p>
      <w:pPr>
        <w:pStyle w:val="Heading2"/>
        <w:spacing w:after="120" w:before="200"/>
      </w:pPr>
      <w:r>
        <w:rPr>
          <w:rFonts w:ascii="Georgia" w:cs="Georgia" w:eastAsia="Georgia" w:hAnsi="Georgia"/>
          <w:b/>
          <w:bCs/>
          <w:color w:val="2C5AA0"/>
          <w:sz w:val="28"/>
          <w:szCs w:val="28"/>
        </w:rPr>
        <w:t xml:space="preserve">5. Veelgestelde vragen</w:t>
      </w:r>
    </w:p>
    <w:p>
      <w:pPr>
        <w:spacing w:after="140" w:line="300"/>
      </w:pPr>
      <w:r>
        <w:rPr>
          <w:rFonts w:ascii="Calibri" w:cs="Calibri" w:eastAsia="Calibri" w:hAnsi="Calibri"/>
          <w:sz w:val="22"/>
          <w:szCs w:val="22"/>
        </w:rPr>
        <w:t xml:space="preserve">"Is er een 'juiste' oorzaak van de discrepantie?" Er is een door de docent voorbereide, aannemelijke verklaring (zie §3), maar het scenario is bewust zo gebouwd dat volledige zekerheid niet haalbaar is binnen de gegeven bronnen — dat is de kern van de oefening, niet een tekortkoming ervan.</w:t>
      </w:r>
    </w:p>
    <w:p>
      <w:pPr>
        <w:pStyle w:val="Heading2"/>
        <w:spacing w:after="120" w:before="200"/>
      </w:pPr>
      <w:r>
        <w:rPr>
          <w:rFonts w:ascii="Georgia" w:cs="Georgia" w:eastAsia="Georgia" w:hAnsi="Georgia"/>
          <w:b/>
          <w:bCs/>
          <w:color w:val="2C5AA0"/>
          <w:sz w:val="28"/>
          <w:szCs w:val="28"/>
        </w:rPr>
        <w:t xml:space="preserve">6. Benodigdheden</w:t>
      </w:r>
    </w:p>
    <w:p>
      <w:pPr>
        <w:spacing w:after="140" w:line="300"/>
      </w:pPr>
      <w:r>
        <w:rPr>
          <w:rFonts w:ascii="Calibri" w:cs="Calibri" w:eastAsia="Calibri" w:hAnsi="Calibri"/>
          <w:sz w:val="22"/>
          <w:szCs w:val="22"/>
        </w:rPr>
        <w:t xml:space="preserve">Casusdossier-aanvulling SAP, zelf samengestelde fictieve bronnen (§3), rolvoorbereiding voor vier rollen, slidedeck deel 30.</w:t>
      </w:r>
    </w:p>
    <w:p>
      <w:pPr>
        <w:pStyle w:val="Heading2"/>
        <w:spacing w:after="120" w:before="200"/>
      </w:pPr>
      <w:r>
        <w:rPr>
          <w:rFonts w:ascii="Georgia" w:cs="Georgia" w:eastAsia="Georgia" w:hAnsi="Georgia"/>
          <w:b/>
          <w:bCs/>
          <w:color w:val="2C5AA0"/>
          <w:sz w:val="28"/>
          <w:szCs w:val="28"/>
        </w:rPr>
        <w:t xml:space="preserve">7. Na de cursus</w:t>
      </w:r>
    </w:p>
    <w:p>
      <w:pPr>
        <w:spacing w:after="140" w:line="300"/>
      </w:pPr>
      <w:r>
        <w:rPr>
          <w:rFonts w:ascii="Calibri" w:cs="Calibri" w:eastAsia="Calibri" w:hAnsi="Calibri"/>
          <w:sz w:val="22"/>
          <w:szCs w:val="22"/>
        </w:rPr>
        <w:t xml:space="preserve">Dit is het laatste deel — er is geen "voorbereiding op deel 31". Sluit de cursus af met een korte, persoonlijke rondgang: wat neemt elke deelnemer specifiek mee terug naar zijn eigen werk.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3 Expert · Deel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2026-08-16T20:13:00.205Z</dcterms:created>
  <dcterms:modified xsi:type="dcterms:W3CDTF">2026-08-16T20:13:00.205Z</dcterms:modified>
</cp:coreProperties>
</file>

<file path=docProps/custom.xml><?xml version="1.0" encoding="utf-8"?>
<Properties xmlns="http://schemas.openxmlformats.org/officeDocument/2006/custom-properties" xmlns:vt="http://schemas.openxmlformats.org/officeDocument/2006/docPropsVTypes"/>
</file>