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BUSINESS &amp; ENTERPRISE ARCHITECTUUR</w:t>
      </w:r>
    </w:p>
    <w:p>
      <w:pPr>
        <w:spacing w:after="40"/>
      </w:pPr>
      <w:r>
        <w:rPr>
          <w:rFonts w:ascii="Calibri" w:cs="Calibri" w:eastAsia="Calibri" w:hAnsi="Calibri"/>
          <w:color w:val="6B7280"/>
          <w:sz w:val="22"/>
          <w:szCs w:val="22"/>
        </w:rPr>
        <w:t xml:space="preserve">Niveau 1 — Deel 10</w:t>
      </w:r>
    </w:p>
    <w:p>
      <w:pPr>
        <w:spacing w:after="300"/>
      </w:pPr>
      <w:r>
        <w:rPr>
          <w:rFonts w:ascii="Calibri" w:cs="Calibri" w:eastAsia="Calibri" w:hAnsi="Calibri"/>
          <w:b/>
          <w:bCs/>
          <w:color w:val="14213D"/>
          <w:sz w:val="32"/>
          <w:szCs w:val="32"/>
        </w:rPr>
        <w:t xml:space="preserve">Docentenhandleiding — Examentraining en capstone: de architectuurvisie verdedigd</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Duur: </w:t>
            </w:r>
            <w:r>
              <w:rPr>
                <w:rFonts w:ascii="Calibri" w:cs="Calibri" w:eastAsia="Calibri" w:hAnsi="Calibri"/>
                <w:b w:val="false"/>
                <w:bCs w:val="false"/>
                <w:i/>
                <w:iCs/>
                <w:color w:val="14213D"/>
                <w:sz w:val="20"/>
                <w:szCs w:val="20"/>
              </w:rPr>
              <w:t xml:space="preserve">één dagdeel (4 uur incl. pauze) — bij grote groepen (&gt;10) overweeg een tweede dagdeel voor de capstone-verdedigingen, zie hieronder</w:t>
            </w:r>
            <w:r>
              <w:rPr>
                <w:rFonts w:ascii="Calibri" w:cs="Calibri" w:eastAsia="Calibri" w:hAnsi="Calibri"/>
                <w:b w:val="false"/>
                <w:bCs w:val="false"/>
                <w:i/>
                <w:iCs/>
                <w:color w:val="14213D"/>
                <w:sz w:val="20"/>
                <w:szCs w:val="20"/>
              </w:rPr>
              <w:t xml:space="preserve">   ·   </w:t>
            </w:r>
            <w:r>
              <w:rPr>
                <w:rFonts w:ascii="Calibri" w:cs="Calibri" w:eastAsia="Calibri" w:hAnsi="Calibri"/>
                <w:b/>
                <w:bCs/>
                <w:i/>
                <w:iCs/>
                <w:color w:val="14213D"/>
                <w:sz w:val="20"/>
                <w:szCs w:val="20"/>
              </w:rPr>
              <w:t xml:space="preserve">Groepsgrootte: </w:t>
            </w:r>
            <w:r>
              <w:rPr>
                <w:rFonts w:ascii="Calibri" w:cs="Calibri" w:eastAsia="Calibri" w:hAnsi="Calibri"/>
                <w:b w:val="false"/>
                <w:bCs w:val="false"/>
                <w:i/>
                <w:iCs/>
                <w:color w:val="14213D"/>
                <w:sz w:val="20"/>
                <w:szCs w:val="20"/>
              </w:rPr>
              <w:t xml:space="preserve">8-16</w:t>
            </w:r>
            <w:r>
              <w:rPr>
                <w:rFonts w:ascii="Calibri" w:cs="Calibri" w:eastAsia="Calibri" w:hAnsi="Calibri"/>
                <w:b w:val="false"/>
                <w:bCs w:val="false"/>
                <w:i/>
                <w:iCs/>
                <w:color w:val="14213D"/>
                <w:sz w:val="20"/>
                <w:szCs w:val="20"/>
              </w:rPr>
              <w:t xml:space="preserve">   ·   </w:t>
            </w:r>
            <w:r>
              <w:rPr>
                <w:rFonts w:ascii="Calibri" w:cs="Calibri" w:eastAsia="Calibri" w:hAnsi="Calibri"/>
                <w:b/>
                <w:bCs/>
                <w:i/>
                <w:iCs/>
                <w:color w:val="14213D"/>
                <w:sz w:val="20"/>
                <w:szCs w:val="20"/>
              </w:rPr>
              <w:t xml:space="preserve">Voorkennis: </w:t>
            </w:r>
            <w:r>
              <w:rPr>
                <w:rFonts w:ascii="Calibri" w:cs="Calibri" w:eastAsia="Calibri" w:hAnsi="Calibri"/>
                <w:b w:val="false"/>
                <w:bCs w:val="false"/>
                <w:i/>
                <w:iCs/>
                <w:color w:val="14213D"/>
                <w:sz w:val="20"/>
                <w:szCs w:val="20"/>
              </w:rPr>
              <w:t xml:space="preserve">deel 1-9 volledig; alle zeven visie-hoofdstukken per deelnemer compleet</w:t>
            </w:r>
            <w:r>
              <w:rPr>
                <w:rFonts w:ascii="Calibri" w:cs="Calibri" w:eastAsia="Calibri" w:hAnsi="Calibri"/>
                <w:b w:val="false"/>
                <w:bCs w:val="false"/>
                <w:i/>
                <w:iCs/>
                <w:color w:val="14213D"/>
                <w:sz w:val="20"/>
                <w:szCs w:val="20"/>
              </w:rPr>
              <w:t xml:space="preserve">   ·   </w:t>
            </w:r>
            <w:r>
              <w:rPr>
                <w:rFonts w:ascii="Calibri" w:cs="Calibri" w:eastAsia="Calibri" w:hAnsi="Calibri"/>
                <w:b/>
                <w:bCs/>
                <w:i/>
                <w:iCs/>
                <w:color w:val="14213D"/>
                <w:sz w:val="20"/>
                <w:szCs w:val="20"/>
              </w:rPr>
              <w:t xml:space="preserve">Materiaal: </w:t>
            </w:r>
            <w:r>
              <w:rPr>
                <w:rFonts w:ascii="Calibri" w:cs="Calibri" w:eastAsia="Calibri" w:hAnsi="Calibri"/>
                <w:b w:val="false"/>
                <w:bCs w:val="false"/>
                <w:i/>
                <w:iCs/>
                <w:color w:val="14213D"/>
                <w:sz w:val="20"/>
                <w:szCs w:val="20"/>
              </w:rPr>
              <w:t xml:space="preserve">reader/werkboek/slidedeck deel 10, rolkaarten MT-rollen (COO/CFO/CISO/manager Werkgeversdiensten) voor de verdedigingsronde, tijdklok zichtbaar voor de groep, beoordelingsrubrieken (werkboek) gekopieerd per beoordelaar</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Plaats van dit deel in het niveau</w:t>
      </w:r>
    </w:p>
    <w:p>
      <w:pPr>
        <w:spacing w:after="160" w:line="300"/>
        <w:jc w:val="left"/>
      </w:pPr>
      <w:r>
        <w:rPr>
          <w:rFonts w:ascii="Calibri" w:cs="Calibri" w:eastAsia="Calibri" w:hAnsi="Calibri"/>
          <w:b w:val="false"/>
          <w:bCs w:val="false"/>
          <w:i w:val="false"/>
          <w:iCs w:val="false"/>
          <w:color w:val="1A1A1A"/>
          <w:sz w:val="21"/>
          <w:szCs w:val="21"/>
        </w:rPr>
        <w:t xml:space="preserve">Het laatste dagdeel van niveau 1 heeft een dubbele functie: examenklaar maken (het proefexamen) en de capstone laten landen (de verdediging). Beide zijn optelsommen, geen nieuwe stof — behandel dit dagdeel dan ook nadrukkelijk anders dan de voorgaande negen: minder doceren, meer faciliteren en beoordelen. De docent is vandaag vooral tijdbewaker en jurylid.</w:t>
      </w:r>
    </w:p>
    <w:p>
      <w:pPr>
        <w:spacing w:after="160" w:line="300"/>
        <w:jc w:val="left"/>
      </w:pPr>
      <w:r>
        <w:rPr>
          <w:rFonts w:ascii="Calibri" w:cs="Calibri" w:eastAsia="Calibri" w:hAnsi="Calibri"/>
          <w:b/>
          <w:bCs/>
          <w:i w:val="false"/>
          <w:iCs w:val="false"/>
          <w:color w:val="1A1A1A"/>
          <w:sz w:val="21"/>
          <w:szCs w:val="21"/>
        </w:rPr>
        <w:t xml:space="preserve">Tijdsplanning is de grootste risicofactor van dit deel.</w:t>
      </w:r>
      <w:r>
        <w:rPr>
          <w:rFonts w:ascii="Calibri" w:cs="Calibri" w:eastAsia="Calibri" w:hAnsi="Calibri"/>
          <w:b w:val="false"/>
          <w:bCs w:val="false"/>
          <w:i w:val="false"/>
          <w:iCs w:val="false"/>
          <w:color w:val="1A1A1A"/>
          <w:sz w:val="21"/>
          <w:szCs w:val="21"/>
        </w:rPr>
        <w:t xml:space="preserve"> Bij 12+ deelnemers past de volledige capstone-ronde (12 minuten × aantal deelnemers) niet in één dagdeel naast het proefexamen. Twee oplossingen, vooraf te kiezen op basis van groepsgrootte: (a) een tweede dagdeel plannen specifiek voor de verdedigingen, of (b) verdedigingen in subgroepen van 4-5 laten plaatsvinden met een docent of ervaren peer-beoordelaar per subgroep, parallel. Beslis dit vóór de bijeenkomst en communiceer het bij de uitnodiging — niet ter plekke improviseren.</w:t>
      </w:r>
    </w:p>
    <w:p>
      <w:pPr>
        <w:spacing w:after="160" w:line="300"/>
        <w:jc w:val="left"/>
      </w:pPr>
      <w:r>
        <w:rPr>
          <w:rFonts w:ascii="Calibri" w:cs="Calibri" w:eastAsia="Calibri" w:hAnsi="Calibri"/>
          <w:b/>
          <w:bCs/>
          <w:i w:val="false"/>
          <w:iCs w:val="false"/>
          <w:color w:val="1A1A1A"/>
          <w:sz w:val="21"/>
          <w:szCs w:val="21"/>
        </w:rPr>
        <w:t xml:space="preserve">Geen bevinding vandaag</w:t>
      </w:r>
      <w:r>
        <w:rPr>
          <w:rFonts w:ascii="Calibri" w:cs="Calibri" w:eastAsia="Calibri" w:hAnsi="Calibri"/>
          <w:b w:val="false"/>
          <w:bCs w:val="false"/>
          <w:i w:val="false"/>
          <w:iCs w:val="false"/>
          <w:color w:val="1A1A1A"/>
          <w:sz w:val="21"/>
          <w:szCs w:val="21"/>
        </w:rPr>
        <w:t xml:space="preserve"> — alle zeven staan al. Dit dagdeel is de finale toets of de oplossingen ook overtuigen buiten de veilige oefenruimte van het werkboek.</w:t>
      </w:r>
    </w:p>
    <w:p>
      <w:pPr>
        <w:pStyle w:val="Heading2"/>
        <w:pBdr>
          <w:bottom w:val="single" w:color="2563A8" w:sz="6" w:space="4"/>
        </w:pBdr>
        <w:spacing w:after="160" w:before="300"/>
      </w:pPr>
      <w:r>
        <w:rPr>
          <w:rFonts w:ascii="Calibri" w:cs="Calibri" w:eastAsia="Calibri" w:hAnsi="Calibri"/>
          <w:b/>
          <w:bCs/>
          <w:color w:val="2563A8"/>
          <w:sz w:val="24"/>
          <w:szCs w:val="24"/>
        </w:rPr>
        <w:t xml:space="preserve">Dagdeelplanning (groep tot ~10, alles in één dagdeel)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Tijd</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Onderdeel</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Werkvorm</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Slides</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0:00–0:10</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Opening: vandaag is anders — proefexamen + verdediging</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1–3</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0:10–0:15</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Examenformat kort toegelicht</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4–6</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0:15–0:55</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1 — proefexamen (40 min, individueel, gesloten boek)</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individueel</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7</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0:55–1:10</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Nakijken in paren + bespreking examenvalkuilen</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tweetallen → plenair</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8–9</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1:10–1:25</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Pauze</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1:25–1:55</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Opdracht 2 — visie samenvoegen</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individueel</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10</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1:55–2:25</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3 — verdediging voorbereiden</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individueel + peer-check</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11</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2:25–3:55</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Opdracht 4 — capstone-verdedigingen (rondes)</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plenair, rouleren</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12–14</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3:55–4:00</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Afsluiting niveau 1 + vooruitblik niveau 2</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15–16</w:t>
            </w:r>
          </w:p>
        </w:tc>
      </w:tr>
    </w:tbl>
    <w:p>
      <w:pPr>
        <w:spacing w:before="200"/>
      </w:pPr>
    </w:p>
    <w:p>
      <w:pPr>
        <w:spacing w:after="160" w:line="300"/>
        <w:jc w:val="left"/>
      </w:pPr>
      <w:r>
        <w:rPr>
          <w:rFonts w:ascii="Calibri" w:cs="Calibri" w:eastAsia="Calibri" w:hAnsi="Calibri"/>
          <w:b w:val="false"/>
          <w:bCs w:val="false"/>
          <w:i w:val="false"/>
          <w:iCs w:val="false"/>
          <w:color w:val="1A1A1A"/>
          <w:sz w:val="21"/>
          <w:szCs w:val="21"/>
        </w:rPr>
        <w:t xml:space="preserve">Bij grotere groepen: verkort opdracht 2-3 tot 20+20 minuten samen en gebruik de vrijgekomen tijd voor meer verdedigingsrondes, of verplaats verdedigingen naar het tweede dagdeel zoals hierboven beschreven.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Didactische aanwijzingen per onderdeel</w:t>
      </w:r>
    </w:p>
    <w:p>
      <w:pPr>
        <w:spacing w:after="160" w:line="300"/>
        <w:jc w:val="left"/>
      </w:pPr>
      <w:r>
        <w:rPr>
          <w:rFonts w:ascii="Calibri" w:cs="Calibri" w:eastAsia="Calibri" w:hAnsi="Calibri"/>
          <w:b/>
          <w:bCs/>
          <w:i w:val="false"/>
          <w:iCs w:val="false"/>
          <w:color w:val="1A1A1A"/>
          <w:sz w:val="21"/>
          <w:szCs w:val="21"/>
        </w:rPr>
        <w:t xml:space="preserve">Opening.</w:t>
      </w:r>
      <w:r>
        <w:rPr>
          <w:rFonts w:ascii="Calibri" w:cs="Calibri" w:eastAsia="Calibri" w:hAnsi="Calibri"/>
          <w:b w:val="false"/>
          <w:bCs w:val="false"/>
          <w:i w:val="false"/>
          <w:iCs w:val="false"/>
          <w:color w:val="1A1A1A"/>
          <w:sz w:val="21"/>
          <w:szCs w:val="21"/>
        </w:rPr>
        <w:t xml:space="preserve"> Wees expliciet over de verschuiving: "de voorgaande negen delen bouwden op; vandaag toont u wat er staat." Dat zet de juiste, iets serieuzere toon zonder de spanning nodeloos op te voeren.</w:t>
      </w:r>
    </w:p>
    <w:p>
      <w:pPr>
        <w:spacing w:after="160" w:line="300"/>
        <w:jc w:val="left"/>
      </w:pPr>
      <w:r>
        <w:rPr>
          <w:rFonts w:ascii="Calibri" w:cs="Calibri" w:eastAsia="Calibri" w:hAnsi="Calibri"/>
          <w:b/>
          <w:bCs/>
          <w:i w:val="false"/>
          <w:iCs w:val="false"/>
          <w:color w:val="1A1A1A"/>
          <w:sz w:val="21"/>
          <w:szCs w:val="21"/>
        </w:rPr>
        <w:t xml:space="preserve">Proefexamen.</w:t>
      </w:r>
      <w:r>
        <w:rPr>
          <w:rFonts w:ascii="Calibri" w:cs="Calibri" w:eastAsia="Calibri" w:hAnsi="Calibri"/>
          <w:b w:val="false"/>
          <w:bCs w:val="false"/>
          <w:i w:val="false"/>
          <w:iCs w:val="false"/>
          <w:color w:val="1A1A1A"/>
          <w:sz w:val="21"/>
          <w:szCs w:val="21"/>
        </w:rPr>
        <w:t xml:space="preserve"> Bewaak echt de tijd (40 minuten voor 20 vragen, 2 minuten gemiddeld) — het examentempo zelf is onderdeel van de training. Geen overleg, geen boek. Bij het nakijken: laat paren niet alleen het juiste antwoord noteren maar hardop benoemen welke examenvalkuil (reader §3) bij elke gemiste vraag speelde — dat verankert de negen valkuilen beter dan een enkele plenaire doorloop.</w:t>
      </w:r>
    </w:p>
    <w:p>
      <w:pPr>
        <w:spacing w:after="160" w:line="300"/>
        <w:jc w:val="left"/>
      </w:pPr>
      <w:r>
        <w:rPr>
          <w:rFonts w:ascii="Calibri" w:cs="Calibri" w:eastAsia="Calibri" w:hAnsi="Calibri"/>
          <w:b/>
          <w:bCs/>
          <w:i w:val="false"/>
          <w:iCs w:val="false"/>
          <w:color w:val="1A1A1A"/>
          <w:sz w:val="21"/>
          <w:szCs w:val="21"/>
        </w:rPr>
        <w:t xml:space="preserve">Opdracht 2.</w:t>
      </w:r>
      <w:r>
        <w:rPr>
          <w:rFonts w:ascii="Calibri" w:cs="Calibri" w:eastAsia="Calibri" w:hAnsi="Calibri"/>
          <w:b w:val="false"/>
          <w:bCs w:val="false"/>
          <w:i w:val="false"/>
          <w:iCs w:val="false"/>
          <w:color w:val="1A1A1A"/>
          <w:sz w:val="21"/>
          <w:szCs w:val="21"/>
        </w:rPr>
        <w:t xml:space="preserve"> Loop rond en signaleer inconsistenties die deelnemers zelf over het hoofd zien (een hernoemde capability die in hoofdstuk 4 nog de oude naam draagt — het deel 8-incident, nu in het echt). Wijs erop zonder het voor ze op te lossen: "vergelijk uw hoofdstuk 2 en 4 nog eens op dit punt."</w:t>
      </w:r>
    </w:p>
    <w:p>
      <w:pPr>
        <w:spacing w:after="160" w:line="300"/>
        <w:jc w:val="left"/>
      </w:pPr>
      <w:r>
        <w:rPr>
          <w:rFonts w:ascii="Calibri" w:cs="Calibri" w:eastAsia="Calibri" w:hAnsi="Calibri"/>
          <w:b/>
          <w:bCs/>
          <w:i w:val="false"/>
          <w:iCs w:val="false"/>
          <w:color w:val="1A1A1A"/>
          <w:sz w:val="21"/>
          <w:szCs w:val="21"/>
        </w:rPr>
        <w:t xml:space="preserve">Opdracht 3.</w:t>
      </w:r>
      <w:r>
        <w:rPr>
          <w:rFonts w:ascii="Calibri" w:cs="Calibri" w:eastAsia="Calibri" w:hAnsi="Calibri"/>
          <w:b w:val="false"/>
          <w:bCs w:val="false"/>
          <w:i w:val="false"/>
          <w:iCs w:val="false"/>
          <w:color w:val="1A1A1A"/>
          <w:sz w:val="21"/>
          <w:szCs w:val="21"/>
        </w:rPr>
        <w:t xml:space="preserve"> De peer-check (c) is kort maar waardevol: één onverwachte vraag van een buitenstaander went de deelnemer alvast aan het ongemak van een vraag die niet in de eigen voorbereiding zat — precies wat een echte verdediging doet.</w:t>
      </w:r>
    </w:p>
    <w:p>
      <w:pPr>
        <w:spacing w:after="160" w:line="300"/>
        <w:jc w:val="left"/>
      </w:pPr>
      <w:r>
        <w:rPr>
          <w:rFonts w:ascii="Calibri" w:cs="Calibri" w:eastAsia="Calibri" w:hAnsi="Calibri"/>
          <w:b/>
          <w:bCs/>
          <w:i w:val="false"/>
          <w:iCs w:val="false"/>
          <w:color w:val="1A1A1A"/>
          <w:sz w:val="21"/>
          <w:szCs w:val="21"/>
        </w:rPr>
        <w:t xml:space="preserve">Opdracht 4 — de kern van het dagdeel.</w:t>
      </w:r>
      <w:r>
        <w:rPr>
          <w:rFonts w:ascii="Calibri" w:cs="Calibri" w:eastAsia="Calibri" w:hAnsi="Calibri"/>
          <w:b w:val="false"/>
          <w:bCs w:val="false"/>
          <w:i w:val="false"/>
          <w:iCs w:val="false"/>
          <w:color w:val="1A1A1A"/>
          <w:sz w:val="21"/>
          <w:szCs w:val="21"/>
        </w:rPr>
        <w:t xml:space="preserve"> Wijs voor elke verdediging vier deelnemers de MT-rollen toe (COO, CFO, CISO, manager Werkgeversdiensten) en laat ze kort de rolkaart lezen (belangen conform deel 3) vóór de presentatie begint. Bewaak de 12 minuten strikt met een zichtbare klok — een verdediging die uitloopt, doet alle volgende deelnemers tekort. Grijp in als vragenstellers buiten hun rol treden (een "CFO" die plotseling technische ArchiMate-details bevraagt, hoort dat niet te doen — houd de rollen zuiver aan hun eigen concern, conform deel 3).</w:t>
      </w:r>
    </w:p>
    <w:p>
      <w:pPr>
        <w:spacing w:after="160" w:line="300"/>
        <w:jc w:val="left"/>
      </w:pPr>
      <w:r>
        <w:rPr>
          <w:rFonts w:ascii="Calibri" w:cs="Calibri" w:eastAsia="Calibri" w:hAnsi="Calibri"/>
          <w:b w:val="false"/>
          <w:bCs w:val="false"/>
          <w:i w:val="false"/>
          <w:iCs w:val="false"/>
          <w:color w:val="1A1A1A"/>
          <w:sz w:val="21"/>
          <w:szCs w:val="21"/>
        </w:rPr>
        <w:t xml:space="preserve">Na elke verdediging: laat de rolspelers eerst hardop hun rubric-score met één zin motivatie geven vóór u zelf iets toevoegt — de peer-beoordeling draagt het leereffect net zo zwaar als uw eigen feedback. Bewaar bijzonder sterke antwoorden (een goede omslagconditie-formulering, een goede besluitoverdracht-zin) voor de plenaire afsluiting.</w:t>
      </w:r>
    </w:p>
    <w:p>
      <w:pPr>
        <w:spacing w:after="160" w:line="300"/>
        <w:jc w:val="left"/>
      </w:pPr>
      <w:r>
        <w:rPr>
          <w:rFonts w:ascii="Calibri" w:cs="Calibri" w:eastAsia="Calibri" w:hAnsi="Calibri"/>
          <w:b/>
          <w:bCs/>
          <w:i w:val="false"/>
          <w:iCs w:val="false"/>
          <w:color w:val="1A1A1A"/>
          <w:sz w:val="21"/>
          <w:szCs w:val="21"/>
        </w:rPr>
        <w:t xml:space="preserve">Afsluiting niveau 1.</w:t>
      </w:r>
      <w:r>
        <w:rPr>
          <w:rFonts w:ascii="Calibri" w:cs="Calibri" w:eastAsia="Calibri" w:hAnsi="Calibri"/>
          <w:b w:val="false"/>
          <w:bCs w:val="false"/>
          <w:i w:val="false"/>
          <w:iCs w:val="false"/>
          <w:color w:val="1A1A1A"/>
          <w:sz w:val="21"/>
          <w:szCs w:val="21"/>
        </w:rPr>
        <w:t xml:space="preserve"> Dit verdient een moment. Loop de volle bevindingenflap (van deel 1 tot en met deel 9) nog één keer langs, en benoem expliciet: dit is niet een lijst afgevinkte taken, dit is het bewijs van een architectuurfunctie die nu bestáát. Vooruitblik niveau 2: de casus schaalt op (Programma Mutatieplatform), de certificering verdiept (Practitioner, ArchiMate Part 2), en deel 12 (BIZBOK-zwaartepunt) is voor wie zich als businessarchitect wil onderscheiden.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Veelgestelde vragen en gevoeligheden</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"Wat als mijn visie zwak is op één hoofdstuk — zak ik dan?"</w:t>
      </w:r>
      <w:r>
        <w:rPr>
          <w:rFonts w:ascii="Calibri" w:cs="Calibri" w:eastAsia="Calibri" w:hAnsi="Calibri"/>
          <w:b w:val="false"/>
          <w:bCs w:val="false"/>
          <w:i w:val="false"/>
          <w:iCs w:val="false"/>
          <w:color w:val="1A1A1A"/>
          <w:sz w:val="21"/>
          <w:szCs w:val="21"/>
        </w:rPr>
        <w:t xml:space="preserve"> — Dit is een cursus, geen officieel examen; het rubric is formatief. Een zwak hoofdstuk is een leerpunt voor niveau 2, geen uitsluiting. Zeg dit voorafgaand aan opdracht 4 hardop om plankenkoorts te verminderen.</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"De echte MT-rollen kennen mijn hele visie niet — is dat realistisch?"</w:t>
      </w:r>
      <w:r>
        <w:rPr>
          <w:rFonts w:ascii="Calibri" w:cs="Calibri" w:eastAsia="Calibri" w:hAnsi="Calibri"/>
          <w:b w:val="false"/>
          <w:bCs w:val="false"/>
          <w:i w:val="false"/>
          <w:iCs w:val="false"/>
          <w:color w:val="1A1A1A"/>
          <w:sz w:val="21"/>
          <w:szCs w:val="21"/>
        </w:rPr>
        <w:t xml:space="preserve"> — Heel realistisch: een echte directie leest ook niet alle zeven hoofdstukken vooraf grondig. De vaardigheid om onder die voorwaarde te overtuigen is precies het punt.</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"Moeten we in niveau 2 deze visie verder afmaken?"</w:t>
      </w:r>
      <w:r>
        <w:rPr>
          <w:rFonts w:ascii="Calibri" w:cs="Calibri" w:eastAsia="Calibri" w:hAnsi="Calibri"/>
          <w:b w:val="false"/>
          <w:bCs w:val="false"/>
          <w:i w:val="false"/>
          <w:iCs w:val="false"/>
          <w:color w:val="1A1A1A"/>
          <w:sz w:val="21"/>
          <w:szCs w:val="21"/>
        </w:rPr>
        <w:t xml:space="preserve"> — Nee, niveau 2 begint met een nieuwe, grotere casus (Mutatieplatform); deze visie is het sluitstuk van niveau 1, geen doorlopend project. Wie het materiaal wil bewaren als portfolio-stuk: prima, dat is een persoonlijke keuze.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Plankenkoorts bij de verdedigingen is normaal en functioneel — het hoort bij de vaardigheid die wordt getraind. Creëer een veilige toon (de rolspelers zijn scherp maar niet vijandig) zonder de realistische spanning weg te nemen.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Antwoordindicaties</w:t>
      </w:r>
    </w:p>
    <w:p>
      <w:pPr>
        <w:spacing w:after="160" w:line="300"/>
        <w:jc w:val="left"/>
      </w:pPr>
      <w:r>
        <w:rPr>
          <w:rFonts w:ascii="Calibri" w:cs="Calibri" w:eastAsia="Calibri" w:hAnsi="Calibri"/>
          <w:b w:val="false"/>
          <w:bCs w:val="false"/>
          <w:i w:val="false"/>
          <w:iCs w:val="false"/>
          <w:color w:val="1A1A1A"/>
          <w:sz w:val="21"/>
          <w:szCs w:val="21"/>
        </w:rPr>
        <w:t xml:space="preserve">Zie het antwoordmodel en rubric in het werkboek. Aanvullend:</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Proefexamen</w:t>
      </w:r>
      <w:r>
        <w:rPr>
          <w:rFonts w:ascii="Calibri" w:cs="Calibri" w:eastAsia="Calibri" w:hAnsi="Calibri"/>
          <w:b w:val="false"/>
          <w:bCs w:val="false"/>
          <w:i w:val="false"/>
          <w:iCs w:val="false"/>
          <w:color w:val="1A1A1A"/>
          <w:sz w:val="21"/>
          <w:szCs w:val="21"/>
        </w:rPr>
        <w:t xml:space="preserve">: een score onder de 70% (14/20) is een signaal om vóór het echte examen de betreffende delen (reader §3-koppeling) nog eens door te nemen — geen ramp, wel een concreet actiepunt.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Opdracht 4</w:t>
      </w:r>
      <w:r>
        <w:rPr>
          <w:rFonts w:ascii="Calibri" w:cs="Calibri" w:eastAsia="Calibri" w:hAnsi="Calibri"/>
          <w:b w:val="false"/>
          <w:bCs w:val="false"/>
          <w:i w:val="false"/>
          <w:iCs w:val="false"/>
          <w:color w:val="1A1A1A"/>
          <w:sz w:val="21"/>
          <w:szCs w:val="21"/>
        </w:rPr>
        <w:t xml:space="preserve">: de vier rubriekcriteria zijn gelijk gewicht; een deelnemer die op drie van de vier sterk scoort maar op "advies, niet besluit" onvoldoende, heeft een specifiek en goed te benoemen verbeterpunt — dat is waardevoller dan een gemiddeld rapportcijfer.</w:t>
      </w:r>
    </w:p>
    <w:p>
      <w:pPr>
        <w:pStyle w:val="Heading2"/>
        <w:pBdr>
          <w:bottom w:val="single" w:color="2563A8" w:sz="6" w:space="4"/>
        </w:pBdr>
        <w:spacing w:after="160" w:before="300"/>
      </w:pPr>
      <w:r>
        <w:rPr>
          <w:rFonts w:ascii="Calibri" w:cs="Calibri" w:eastAsia="Calibri" w:hAnsi="Calibri"/>
          <w:b/>
          <w:bCs/>
          <w:color w:val="2563A8"/>
          <w:sz w:val="24"/>
          <w:szCs w:val="24"/>
        </w:rPr>
        <w:t xml:space="preserve">Afronding niveau 1</w:t>
      </w:r>
    </w:p>
    <w:p>
      <w:pPr>
        <w:spacing w:after="160" w:line="300"/>
        <w:jc w:val="left"/>
      </w:pPr>
      <w:r>
        <w:rPr>
          <w:rFonts w:ascii="Calibri" w:cs="Calibri" w:eastAsia="Calibri" w:hAnsi="Calibri"/>
          <w:b w:val="false"/>
          <w:bCs w:val="false"/>
          <w:i w:val="false"/>
          <w:iCs w:val="false"/>
          <w:color w:val="1A1A1A"/>
          <w:sz w:val="21"/>
          <w:szCs w:val="21"/>
        </w:rPr>
        <w:t xml:space="preserve">Niveau 1 is hiermee inhoudelijk compleet: alle tien delen, veertig deliverables, zeven post-mortembevindingen gesloten en in stand gehouden, een volledig verdedigde architectuurvisie per deelnemer. Resterend voor het hele niveau: figuren en opmaak (als allerlaatste stap, na alle drie niveaus, conform de vaste aanpak van deze cursusfamilie). Niveau 2 begint bij deel 11.</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Business &amp; Enterprise Architectuur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10 · Docentenhandleiding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2026-08-17T14:47:43.808Z</dcterms:created>
  <dcterms:modified xsi:type="dcterms:W3CDTF">2026-08-17T14:47:43.810Z</dcterms:modified>
</cp:coreProperties>
</file>

<file path=docProps/custom.xml><?xml version="1.0" encoding="utf-8"?>
<Properties xmlns="http://schemas.openxmlformats.org/officeDocument/2006/custom-properties" xmlns:vt="http://schemas.openxmlformats.org/officeDocument/2006/docPropsVTypes"/>
</file>