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1 — Deel 10</w:t>
      </w:r>
    </w:p>
    <w:p>
      <w:pPr>
        <w:spacing w:after="300"/>
      </w:pPr>
      <w:r>
        <w:rPr>
          <w:rFonts w:ascii="Calibri" w:cs="Calibri" w:eastAsia="Calibri" w:hAnsi="Calibri"/>
          <w:b/>
          <w:bCs/>
          <w:color w:val="14213D"/>
          <w:sz w:val="40"/>
          <w:szCs w:val="40"/>
        </w:rPr>
        <w:t xml:space="preserve">Examentraining en capstone: de architectuurvisie verdedigd</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bereidt voor op TOGAF® EA Foundation (OGEA-101) en ArchiMate® 3 Part 1 en vervangt het officiële examenmateriaal van The Open Group niet. Dit deel traint het examenformat met voorbeeldvragen en rondt niveau 1 af met de verdediging van uw architectuurvisie — de eerste keer dat u als architect voor een "directie" staat.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examenformat van OGEA-101 en ArchiMate Part 1 hanteren: vraagtype, tijdsdruk, scoringslogica;</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negen meest voorkomende examenvalkuilen uit niveau 1 herkennen en vermijden;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uw zeven visiehoofdstukken samenvoegen tot één samenhangende, verdedigbare architectuurvisie;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architectuuradvies mondeling verdedigen: vragen beantwoorden vanuit meerdere stakeholderrollen, zonder het advies te verzwakken of te verstarren;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terugzien welke negen maanden cursus tot welke vaardigheid hebben geleid — de boog van niveau 1 in één blik.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het overleg is gepland</w:t>
      </w:r>
    </w:p>
    <w:p>
      <w:pPr>
        <w:spacing w:after="160" w:line="300"/>
        <w:jc w:val="left"/>
      </w:pPr>
      <w:r>
        <w:rPr>
          <w:rFonts w:ascii="Calibri" w:cs="Calibri" w:eastAsia="Calibri" w:hAnsi="Calibri"/>
          <w:b w:val="false"/>
          <w:bCs w:val="false"/>
          <w:i w:val="false"/>
          <w:iCs w:val="false"/>
          <w:color w:val="1A1A1A"/>
          <w:sz w:val="21"/>
          <w:szCs w:val="21"/>
        </w:rPr>
        <w:t xml:space="preserve">De COO heeft een datum geprikt: over twee weken presenteert en verdedigt u de architectuurvisie voor het werkgeversdossier voor het voltallige MT. Niet ter kennisgeving — ter </w:t>
      </w:r>
      <w:r>
        <w:rPr>
          <w:rFonts w:ascii="Calibri" w:cs="Calibri" w:eastAsia="Calibri" w:hAnsi="Calibri"/>
          <w:b/>
          <w:bCs/>
          <w:i w:val="false"/>
          <w:iCs w:val="false"/>
          <w:color w:val="1A1A1A"/>
          <w:sz w:val="21"/>
          <w:szCs w:val="21"/>
        </w:rPr>
        <w:t xml:space="preserve">besluitvorming</w:t>
      </w:r>
      <w:r>
        <w:rPr>
          <w:rFonts w:ascii="Calibri" w:cs="Calibri" w:eastAsia="Calibri" w:hAnsi="Calibri"/>
          <w:b w:val="false"/>
          <w:bCs w:val="false"/>
          <w:i w:val="false"/>
          <w:iCs w:val="false"/>
          <w:color w:val="1A1A1A"/>
          <w:sz w:val="21"/>
          <w:szCs w:val="21"/>
        </w:rPr>
        <w:t xml:space="preserve">. Aan het eind van dat overleg beslist de directie: gaan we door naar fase E-F met budget, of niet?</w:t>
      </w:r>
    </w:p>
    <w:p>
      <w:pPr>
        <w:spacing w:after="160" w:line="300"/>
        <w:jc w:val="left"/>
      </w:pPr>
      <w:r>
        <w:rPr>
          <w:rFonts w:ascii="Calibri" w:cs="Calibri" w:eastAsia="Calibri" w:hAnsi="Calibri"/>
          <w:b w:val="false"/>
          <w:bCs w:val="false"/>
          <w:i w:val="false"/>
          <w:iCs w:val="false"/>
          <w:color w:val="1A1A1A"/>
          <w:sz w:val="21"/>
          <w:szCs w:val="21"/>
        </w:rPr>
        <w:t xml:space="preserve">Dat is de opgave van dit laatste dagdeel: niet nog een nieuw onderwerp, maar het samenbrengen van negen delen werk tot één overtuigend geheel — en het beantwoorden van vragen die u niet van tevoren kent, vanuit een houding die u sinds deel 1 traint: opties, taal van de concern, het besluit bij de bestuurder laten. Vandaag is die houding het examen.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Het examenformat</w:t>
      </w:r>
    </w:p>
    <w:p>
      <w:pPr>
        <w:pStyle w:val="Heading3"/>
        <w:spacing w:after="120" w:before="240"/>
      </w:pPr>
      <w:r>
        <w:rPr>
          <w:rFonts w:ascii="Calibri" w:cs="Calibri" w:eastAsia="Calibri" w:hAnsi="Calibri"/>
          <w:b/>
          <w:bCs/>
          <w:color w:val="14213D"/>
          <w:sz w:val="22"/>
          <w:szCs w:val="22"/>
        </w:rPr>
        <w:t xml:space="preserve">2.1 OGEA-101 — TOGAF EA Foundation</w:t>
      </w:r>
    </w:p>
    <w:p>
      <w:pPr>
        <w:spacing w:after="160" w:line="300"/>
        <w:jc w:val="left"/>
      </w:pPr>
      <w:r>
        <w:rPr>
          <w:rFonts w:ascii="Calibri" w:cs="Calibri" w:eastAsia="Calibri" w:hAnsi="Calibri"/>
          <w:b w:val="false"/>
          <w:bCs w:val="false"/>
          <w:i w:val="false"/>
          <w:iCs w:val="false"/>
          <w:color w:val="1A1A1A"/>
          <w:sz w:val="21"/>
          <w:szCs w:val="21"/>
        </w:rPr>
        <w:t xml:space="preserve">Het examen bestaat uit meerkeuzevragen, elk met één juist antwoord, binnen een vaste tijdslimiet. De vragen toetsen begripsherkenning en -toepassing — niet uit het hoofd geleerde definities, maar of u een scenario correct kunt classificeren. Drie vraagstijlen komen steeds terug: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Definitievragen:</w:t>
      </w:r>
      <w:r>
        <w:rPr>
          <w:rFonts w:ascii="Calibri" w:cs="Calibri" w:eastAsia="Calibri" w:hAnsi="Calibri"/>
          <w:b w:val="false"/>
          <w:bCs w:val="false"/>
          <w:i w:val="false"/>
          <w:iCs w:val="false"/>
          <w:color w:val="1A1A1A"/>
          <w:sz w:val="21"/>
          <w:szCs w:val="21"/>
        </w:rPr>
        <w:t xml:space="preserve"> "Wat is de beste omschrijving van [begrip]?" — vier omschrijvingen die sterk op elkaar lijken; het juiste antwoord is meestal de omschrijving die het dichtst bij de officiële TOGAF-formulering blijft, niet de omschrijving die het "mooist" klinkt.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Scenariovragen:</w:t>
      </w:r>
      <w:r>
        <w:rPr>
          <w:rFonts w:ascii="Calibri" w:cs="Calibri" w:eastAsia="Calibri" w:hAnsi="Calibri"/>
          <w:b w:val="false"/>
          <w:bCs w:val="false"/>
          <w:i w:val="false"/>
          <w:iCs w:val="false"/>
          <w:color w:val="1A1A1A"/>
          <w:sz w:val="21"/>
          <w:szCs w:val="21"/>
        </w:rPr>
        <w:t xml:space="preserve"> een korte casusbeschrijving, gevolgd door "in welke ADM-fase hoort deze activiteit thuis?" of "welk artifact is dit?" — precies het soort classificatie-oefening dat u in deel 2, 6 en 8 heeft getraind.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Volgordevragen:</w:t>
      </w:r>
      <w:r>
        <w:rPr>
          <w:rFonts w:ascii="Calibri" w:cs="Calibri" w:eastAsia="Calibri" w:hAnsi="Calibri"/>
          <w:b w:val="false"/>
          <w:bCs w:val="false"/>
          <w:i w:val="false"/>
          <w:iCs w:val="false"/>
          <w:color w:val="1A1A1A"/>
          <w:sz w:val="21"/>
          <w:szCs w:val="21"/>
        </w:rPr>
        <w:t xml:space="preserve"> "Wat is de juiste volgorde van…?" — de ADM-fasen, de stappen van een business scenario, de levenscyclus van een standaard.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Voorbeeldvraag.</w:t>
            </w:r>
            <w:r>
              <w:rPr>
                <w:rFonts w:ascii="Calibri" w:cs="Calibri" w:eastAsia="Calibri" w:hAnsi="Calibri"/>
                <w:b w:val="false"/>
                <w:bCs w:val="false"/>
                <w:i/>
                <w:iCs/>
                <w:color w:val="14213D"/>
                <w:sz w:val="20"/>
                <w:szCs w:val="20"/>
              </w:rPr>
              <w:t xml:space="preserve"> </w:t>
            </w:r>
            <w:r>
              <w:rPr>
                <w:rFonts w:ascii="Calibri" w:cs="Calibri" w:eastAsia="Calibri" w:hAnsi="Calibri"/>
                <w:b w:val="false"/>
                <w:bCs w:val="false"/>
                <w:i/>
                <w:iCs/>
                <w:color w:val="14213D"/>
                <w:sz w:val="20"/>
                <w:szCs w:val="20"/>
              </w:rPr>
              <w:t xml:space="preserve">"Tijdens welke ADM-fase wordt het Statement of Architecture Work opgesteld?"</w:t>
            </w:r>
            <w:r>
              <w:rPr>
                <w:rFonts w:ascii="Calibri" w:cs="Calibri" w:eastAsia="Calibri" w:hAnsi="Calibri"/>
                <w:b w:val="false"/>
                <w:bCs w:val="false"/>
                <w:i/>
                <w:iCs/>
                <w:color w:val="14213D"/>
                <w:sz w:val="20"/>
                <w:szCs w:val="20"/>
              </w:rPr>
              <w:t xml:space="preserve"> A) Preliminary B) Fase A C) Fase E D) Fase H. Het juiste antwoord is B — en de valkuil is Preliminary (A), omdat de architectuurfunctie daar wordt ingericht en deelnemers de twee door elkaar halen. Onderscheid: Preliminary richt de functie in, fase A start de cyclus met een concrete opgave (deel 2, §3.1-3.2).</w:t>
            </w:r>
          </w:p>
        </w:tc>
      </w:tr>
    </w:tbl>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Voorbeeldvraag.</w:t>
            </w:r>
            <w:r>
              <w:rPr>
                <w:rFonts w:ascii="Calibri" w:cs="Calibri" w:eastAsia="Calibri" w:hAnsi="Calibri"/>
                <w:b w:val="false"/>
                <w:bCs w:val="false"/>
                <w:i/>
                <w:iCs/>
                <w:color w:val="14213D"/>
                <w:sz w:val="20"/>
                <w:szCs w:val="20"/>
              </w:rPr>
              <w:t xml:space="preserve"> </w:t>
            </w:r>
            <w:r>
              <w:rPr>
                <w:rFonts w:ascii="Calibri" w:cs="Calibri" w:eastAsia="Calibri" w:hAnsi="Calibri"/>
                <w:b w:val="false"/>
                <w:bCs w:val="false"/>
                <w:i/>
                <w:iCs/>
                <w:color w:val="14213D"/>
                <w:sz w:val="20"/>
                <w:szCs w:val="20"/>
              </w:rPr>
              <w:t xml:space="preserve">"Een team wil een technologie gebruiken die niet in het standaardenkader staat, met een goede zakelijke reden. Wat is de juiste eerste stap volgens TOGAF-governance?"</w:t>
            </w:r>
            <w:r>
              <w:rPr>
                <w:rFonts w:ascii="Calibri" w:cs="Calibri" w:eastAsia="Calibri" w:hAnsi="Calibri"/>
                <w:b w:val="false"/>
                <w:bCs w:val="false"/>
                <w:i/>
                <w:iCs/>
                <w:color w:val="14213D"/>
                <w:sz w:val="20"/>
                <w:szCs w:val="20"/>
              </w:rPr>
              <w:t xml:space="preserve"> A) De technologie direct gebruiken en achteraf melden B) Een afwijkingsaanvraag indienen vóór gebruik C) Wachten tot de volgende ADM-cyclus D) De technologie negeren en de standaard volgen. Het juiste antwoord is B (deel 7, §3.3) — A en D zijn allebei foute reflexen (ondergronds versus star), C is te traag voor een legitieme behoefte.</w:t>
            </w:r>
          </w:p>
        </w:tc>
      </w:tr>
    </w:tbl>
    <w:p>
      <w:pPr>
        <w:pStyle w:val="Heading3"/>
        <w:spacing w:after="120" w:before="240"/>
      </w:pPr>
      <w:r>
        <w:rPr>
          <w:rFonts w:ascii="Calibri" w:cs="Calibri" w:eastAsia="Calibri" w:hAnsi="Calibri"/>
          <w:b/>
          <w:bCs/>
          <w:color w:val="14213D"/>
          <w:sz w:val="22"/>
          <w:szCs w:val="22"/>
        </w:rPr>
        <w:t xml:space="preserve">2.2 ArchiMate Part 1</w:t>
      </w:r>
    </w:p>
    <w:p>
      <w:pPr>
        <w:spacing w:after="160" w:line="300"/>
        <w:jc w:val="left"/>
      </w:pPr>
      <w:r>
        <w:rPr>
          <w:rFonts w:ascii="Calibri" w:cs="Calibri" w:eastAsia="Calibri" w:hAnsi="Calibri"/>
          <w:b w:val="false"/>
          <w:bCs w:val="false"/>
          <w:i w:val="false"/>
          <w:iCs w:val="false"/>
          <w:color w:val="1A1A1A"/>
          <w:sz w:val="21"/>
          <w:szCs w:val="21"/>
        </w:rPr>
        <w:t xml:space="preserve">Vergelijkbaar format, gericht op taalkennis: elementclassificatie (welke laag, welk aspect — deel 8, §3-4), relatieherkenning (welke van de zeven kernrelaties past bij een beschreven situatie — deel 8, §5) en basale viewpoint-vragen. De compositie/aggregatie-valkuil (deel 8) is notoir de vraag waar de meeste punten verloren gaan — oefen haar tot de bestaat-het-los-vraag automatisch komt.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Negen examenvalkuilen — een keer per deel</w:t>
      </w:r>
    </w:p>
    <w:p>
      <w:pPr>
        <w:spacing w:after="160" w:line="300"/>
        <w:jc w:val="left"/>
      </w:pPr>
      <w:r>
        <w:rPr>
          <w:rFonts w:ascii="Calibri" w:cs="Calibri" w:eastAsia="Calibri" w:hAnsi="Calibri"/>
          <w:b w:val="false"/>
          <w:bCs w:val="false"/>
          <w:i w:val="false"/>
          <w:iCs w:val="false"/>
          <w:color w:val="1A1A1A"/>
          <w:sz w:val="21"/>
          <w:szCs w:val="21"/>
        </w:rPr>
        <w:t xml:space="preserve">Deze lijst is geen nieuwe stof; het is niveau 1 gelezen door een examenbril. Herken elke valkuil terug in het deel waar hij vandaan komt.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Preliminary versus fase A verwarren</w:t>
      </w:r>
      <w:r>
        <w:rPr>
          <w:rFonts w:ascii="Calibri" w:cs="Calibri" w:eastAsia="Calibri" w:hAnsi="Calibri"/>
          <w:b w:val="false"/>
          <w:bCs w:val="false"/>
          <w:i w:val="false"/>
          <w:iCs w:val="false"/>
          <w:color w:val="1A1A1A"/>
          <w:sz w:val="21"/>
          <w:szCs w:val="21"/>
        </w:rPr>
        <w:t xml:space="preserve"> (deel 2) — de functie inrichten is niet hetzelfde als een cyclus starten.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Baseline en target omdraaien</w:t>
      </w:r>
      <w:r>
        <w:rPr>
          <w:rFonts w:ascii="Calibri" w:cs="Calibri" w:eastAsia="Calibri" w:hAnsi="Calibri"/>
          <w:b w:val="false"/>
          <w:bCs w:val="false"/>
          <w:i w:val="false"/>
          <w:iCs w:val="false"/>
          <w:color w:val="1A1A1A"/>
          <w:sz w:val="21"/>
          <w:szCs w:val="21"/>
        </w:rPr>
        <w:t xml:space="preserve"> (deel 2) — een vraag die "de huidige situatie" beschrijft en vraagt naar het juiste begrip; niet elke baseline-vraag noemt het woord "baseline".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Stakeholder en concern verwisselen</w:t>
      </w:r>
      <w:r>
        <w:rPr>
          <w:rFonts w:ascii="Calibri" w:cs="Calibri" w:eastAsia="Calibri" w:hAnsi="Calibri"/>
          <w:b w:val="false"/>
          <w:bCs w:val="false"/>
          <w:i w:val="false"/>
          <w:iCs w:val="false"/>
          <w:color w:val="1A1A1A"/>
          <w:sz w:val="21"/>
          <w:szCs w:val="21"/>
        </w:rPr>
        <w:t xml:space="preserve"> (deel 3) — een concern is geen persoon; een vraag die "wie" vraagt naar iets dat een "wat" is, is een strikvraag.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Capability met proces of functie verwarren</w:t>
      </w:r>
      <w:r>
        <w:rPr>
          <w:rFonts w:ascii="Calibri" w:cs="Calibri" w:eastAsia="Calibri" w:hAnsi="Calibri"/>
          <w:b w:val="false"/>
          <w:bCs w:val="false"/>
          <w:i w:val="false"/>
          <w:iCs w:val="false"/>
          <w:color w:val="1A1A1A"/>
          <w:sz w:val="21"/>
          <w:szCs w:val="21"/>
        </w:rPr>
        <w:t xml:space="preserve"> (deel 4) — de vermogens-taal-test (zelfstandig naamwoord, geen werkwoordsvorm) werkt ook onder examendruk.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Deliverable, artifact en building block door elkaar halen</w:t>
      </w:r>
      <w:r>
        <w:rPr>
          <w:rFonts w:ascii="Calibri" w:cs="Calibri" w:eastAsia="Calibri" w:hAnsi="Calibri"/>
          <w:b w:val="false"/>
          <w:bCs w:val="false"/>
          <w:i w:val="false"/>
          <w:iCs w:val="false"/>
          <w:color w:val="1A1A1A"/>
          <w:sz w:val="21"/>
          <w:szCs w:val="21"/>
        </w:rPr>
        <w:t xml:space="preserve"> (deel 2) — "beloof je, maak je, hergebruik je" als geheugensteun.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ABB en SBB omdraaien</w:t>
      </w:r>
      <w:r>
        <w:rPr>
          <w:rFonts w:ascii="Calibri" w:cs="Calibri" w:eastAsia="Calibri" w:hAnsi="Calibri"/>
          <w:b w:val="false"/>
          <w:bCs w:val="false"/>
          <w:i w:val="false"/>
          <w:iCs w:val="false"/>
          <w:color w:val="1A1A1A"/>
          <w:sz w:val="21"/>
          <w:szCs w:val="21"/>
        </w:rPr>
        <w:t xml:space="preserve"> (deel 2, 7) — de behoefte is altijd abstracter dan de invulling; een vraag die om de concrete component vraagt, vraagt om de SBB.</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Gedoogd en aanbevolen verwarren</w:t>
      </w:r>
      <w:r>
        <w:rPr>
          <w:rFonts w:ascii="Calibri" w:cs="Calibri" w:eastAsia="Calibri" w:hAnsi="Calibri"/>
          <w:b w:val="false"/>
          <w:bCs w:val="false"/>
          <w:i w:val="false"/>
          <w:iCs w:val="false"/>
          <w:color w:val="1A1A1A"/>
          <w:sz w:val="21"/>
          <w:szCs w:val="21"/>
        </w:rPr>
        <w:t xml:space="preserve"> (deel 7) — gedoogd is een uitstervende status voor bestaand gebruik; aanbevolen is een levende default voor nieuw gebruik. Tegenovergestelde richting.</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Compositie en aggregatie</w:t>
      </w:r>
      <w:r>
        <w:rPr>
          <w:rFonts w:ascii="Calibri" w:cs="Calibri" w:eastAsia="Calibri" w:hAnsi="Calibri"/>
          <w:b w:val="false"/>
          <w:bCs w:val="false"/>
          <w:i w:val="false"/>
          <w:iCs w:val="false"/>
          <w:color w:val="1A1A1A"/>
          <w:sz w:val="21"/>
          <w:szCs w:val="21"/>
        </w:rPr>
        <w:t xml:space="preserve"> (deel 8) — de nummer één puntenverliezer. Bestaat het deel zonder het geheel?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Principe met standaard of wens verwarren</w:t>
      </w:r>
      <w:r>
        <w:rPr>
          <w:rFonts w:ascii="Calibri" w:cs="Calibri" w:eastAsia="Calibri" w:hAnsi="Calibri"/>
          <w:b w:val="false"/>
          <w:bCs w:val="false"/>
          <w:i w:val="false"/>
          <w:iCs w:val="false"/>
          <w:color w:val="1A1A1A"/>
          <w:sz w:val="21"/>
          <w:szCs w:val="21"/>
        </w:rPr>
        <w:t xml:space="preserve"> (deel 9) — een principe met een technologienaam erin is een standaard; een principe zonder toetsbare implicatie is een wens.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De capstone: van zeven hoofdstukken naar één verdediging</w:t>
      </w:r>
    </w:p>
    <w:p>
      <w:pPr>
        <w:pStyle w:val="Heading3"/>
        <w:spacing w:after="120" w:before="240"/>
      </w:pPr>
      <w:r>
        <w:rPr>
          <w:rFonts w:ascii="Calibri" w:cs="Calibri" w:eastAsia="Calibri" w:hAnsi="Calibri"/>
          <w:b/>
          <w:bCs/>
          <w:color w:val="14213D"/>
          <w:sz w:val="22"/>
          <w:szCs w:val="22"/>
        </w:rPr>
        <w:t xml:space="preserve">4.1 Wat de directie beoordeelt</w:t>
      </w:r>
    </w:p>
    <w:p>
      <w:pPr>
        <w:spacing w:after="160" w:line="300"/>
        <w:jc w:val="left"/>
      </w:pPr>
      <w:r>
        <w:rPr>
          <w:rFonts w:ascii="Calibri" w:cs="Calibri" w:eastAsia="Calibri" w:hAnsi="Calibri"/>
          <w:b w:val="false"/>
          <w:bCs w:val="false"/>
          <w:i w:val="false"/>
          <w:iCs w:val="false"/>
          <w:color w:val="1A1A1A"/>
          <w:sz w:val="21"/>
          <w:szCs w:val="21"/>
        </w:rPr>
        <w:t xml:space="preserve">Een architectuurvisie wordt niet beoordeeld op volledigheid maar op </w:t>
      </w:r>
      <w:r>
        <w:rPr>
          <w:rFonts w:ascii="Calibri" w:cs="Calibri" w:eastAsia="Calibri" w:hAnsi="Calibri"/>
          <w:b/>
          <w:bCs/>
          <w:i w:val="false"/>
          <w:iCs w:val="false"/>
          <w:color w:val="1A1A1A"/>
          <w:sz w:val="21"/>
          <w:szCs w:val="21"/>
        </w:rPr>
        <w:t xml:space="preserve">overtuigingskracht binnen de scope die is afgesproken</w:t>
      </w:r>
      <w:r>
        <w:rPr>
          <w:rFonts w:ascii="Calibri" w:cs="Calibri" w:eastAsia="Calibri" w:hAnsi="Calibri"/>
          <w:b w:val="false"/>
          <w:bCs w:val="false"/>
          <w:i w:val="false"/>
          <w:iCs w:val="false"/>
          <w:color w:val="1A1A1A"/>
          <w:sz w:val="21"/>
          <w:szCs w:val="21"/>
        </w:rPr>
        <w:t xml:space="preserve"> (het SoAW, deel 2 — de cirkel is rond). Vier criteria die door de hele cursus zijn opgebouwd en die vandaag samenkomen: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Herkent elke belangrijke stakeholder zijn concern?</w:t>
      </w:r>
      <w:r>
        <w:rPr>
          <w:rFonts w:ascii="Calibri" w:cs="Calibri" w:eastAsia="Calibri" w:hAnsi="Calibri"/>
          <w:b w:val="false"/>
          <w:bCs w:val="false"/>
          <w:i w:val="false"/>
          <w:iCs w:val="false"/>
          <w:color w:val="1A1A1A"/>
          <w:sz w:val="21"/>
          <w:szCs w:val="21"/>
        </w:rPr>
        <w:t xml:space="preserve"> (deel 3) — de eerste test die elk peer-feedbackmoment sinds hoofdstuk 1 heeft getraind.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Is de samenhang tussen business, data, applicatie en technologie aantoonbaar — niet alleen beweerd?</w:t>
      </w:r>
      <w:r>
        <w:rPr>
          <w:rFonts w:ascii="Calibri" w:cs="Calibri" w:eastAsia="Calibri" w:hAnsi="Calibri"/>
          <w:b w:val="false"/>
          <w:bCs w:val="false"/>
          <w:i w:val="false"/>
          <w:iCs w:val="false"/>
          <w:color w:val="1A1A1A"/>
          <w:sz w:val="21"/>
          <w:szCs w:val="21"/>
        </w:rPr>
        <w:t xml:space="preserve"> (deel 4-8) — de overzichtsplaat uit hoofdstuk 6 is hier het instrument.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Is elk advies een advies, met het besluit expliciet bij de directie?</w:t>
      </w:r>
      <w:r>
        <w:rPr>
          <w:rFonts w:ascii="Calibri" w:cs="Calibri" w:eastAsia="Calibri" w:hAnsi="Calibri"/>
          <w:b w:val="false"/>
          <w:bCs w:val="false"/>
          <w:i w:val="false"/>
          <w:iCs w:val="false"/>
          <w:color w:val="1A1A1A"/>
          <w:sz w:val="21"/>
          <w:szCs w:val="21"/>
        </w:rPr>
        <w:t xml:space="preserve"> (deel 1, herhaald in elk deel sindsdien) — nooit "dit gaat gebeuren", altijd "wij adviseren, u besluit, en dit zijn de trade-offs."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Blijft het opgeloste, opgelost?</w:t>
      </w:r>
      <w:r>
        <w:rPr>
          <w:rFonts w:ascii="Calibri" w:cs="Calibri" w:eastAsia="Calibri" w:hAnsi="Calibri"/>
          <w:b w:val="false"/>
          <w:bCs w:val="false"/>
          <w:i w:val="false"/>
          <w:iCs w:val="false"/>
          <w:color w:val="1A1A1A"/>
          <w:sz w:val="21"/>
          <w:szCs w:val="21"/>
        </w:rPr>
        <w:t xml:space="preserve"> (deel 9, §8) — kan de kandidaat bij elke bevinding het instandhoudingsmechanisme benoemen, niet alleen de oplossing?</w:t>
      </w:r>
    </w:p>
    <w:p>
      <w:pPr>
        <w:pStyle w:val="Heading3"/>
        <w:spacing w:after="120" w:before="240"/>
      </w:pPr>
      <w:r>
        <w:rPr>
          <w:rFonts w:ascii="Calibri" w:cs="Calibri" w:eastAsia="Calibri" w:hAnsi="Calibri"/>
          <w:b/>
          <w:bCs/>
          <w:color w:val="14213D"/>
          <w:sz w:val="22"/>
          <w:szCs w:val="22"/>
        </w:rPr>
        <w:t xml:space="preserve">4.2 De structuur van de verdediging</w:t>
      </w:r>
    </w:p>
    <w:p>
      <w:pPr>
        <w:spacing w:after="160" w:line="300"/>
        <w:jc w:val="left"/>
      </w:pPr>
      <w:r>
        <w:rPr>
          <w:rFonts w:ascii="Calibri" w:cs="Calibri" w:eastAsia="Calibri" w:hAnsi="Calibri"/>
          <w:b w:val="false"/>
          <w:bCs w:val="false"/>
          <w:i w:val="false"/>
          <w:iCs w:val="false"/>
          <w:color w:val="1A1A1A"/>
          <w:sz w:val="21"/>
          <w:szCs w:val="21"/>
        </w:rPr>
        <w:t xml:space="preserve">Een goede verdediging volgt niet de hoofdstukvolgorde van de visie (dat wordt een oplezing) maar een overtuigingslogica: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Opening (2 min):</w:t>
      </w:r>
      <w:r>
        <w:rPr>
          <w:rFonts w:ascii="Calibri" w:cs="Calibri" w:eastAsia="Calibri" w:hAnsi="Calibri"/>
          <w:b w:val="false"/>
          <w:bCs w:val="false"/>
          <w:i w:val="false"/>
          <w:iCs w:val="false"/>
          <w:color w:val="1A1A1A"/>
          <w:sz w:val="21"/>
          <w:szCs w:val="21"/>
        </w:rPr>
        <w:t xml:space="preserve"> het probleem in één zin (de post-mortem, kort), en de kernvraag van vandaag: gaat de directie door met budget voor fase E-F?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 overzichtsplaat (3 min):</w:t>
      </w:r>
      <w:r>
        <w:rPr>
          <w:rFonts w:ascii="Calibri" w:cs="Calibri" w:eastAsia="Calibri" w:hAnsi="Calibri"/>
          <w:b w:val="false"/>
          <w:bCs w:val="false"/>
          <w:i w:val="false"/>
          <w:iCs w:val="false"/>
          <w:color w:val="1A1A1A"/>
          <w:sz w:val="21"/>
          <w:szCs w:val="21"/>
        </w:rPr>
        <w:t xml:space="preserve"> hoofdstuk 6 eerst, niet hoofdstuk 1 — de directie ziet meteen de samenhang, en de details volgen op vraag in plaats van in vaste volgorde.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Het advies (3 min):</w:t>
      </w:r>
      <w:r>
        <w:rPr>
          <w:rFonts w:ascii="Calibri" w:cs="Calibri" w:eastAsia="Calibri" w:hAnsi="Calibri"/>
          <w:b w:val="false"/>
          <w:bCs w:val="false"/>
          <w:i w:val="false"/>
          <w:iCs w:val="false"/>
          <w:color w:val="1A1A1A"/>
          <w:sz w:val="21"/>
          <w:szCs w:val="21"/>
        </w:rPr>
        <w:t xml:space="preserve"> wat u concreet adviseert (welke transitiefase eerst, welk budget, welk risico geaccepteerd), met de trade-offs kort benoemd.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Vragen (10-15 min):</w:t>
      </w:r>
      <w:r>
        <w:rPr>
          <w:rFonts w:ascii="Calibri" w:cs="Calibri" w:eastAsia="Calibri" w:hAnsi="Calibri"/>
          <w:b w:val="false"/>
          <w:bCs w:val="false"/>
          <w:i w:val="false"/>
          <w:iCs w:val="false"/>
          <w:color w:val="1A1A1A"/>
          <w:sz w:val="21"/>
          <w:szCs w:val="21"/>
        </w:rPr>
        <w:t xml:space="preserve"> hier gebeurt het echte werk — zie §4.3.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Afsluiting (1 min):</w:t>
      </w:r>
      <w:r>
        <w:rPr>
          <w:rFonts w:ascii="Calibri" w:cs="Calibri" w:eastAsia="Calibri" w:hAnsi="Calibri"/>
          <w:b w:val="false"/>
          <w:bCs w:val="false"/>
          <w:i w:val="false"/>
          <w:iCs w:val="false"/>
          <w:color w:val="1A1A1A"/>
          <w:sz w:val="21"/>
          <w:szCs w:val="21"/>
        </w:rPr>
        <w:t xml:space="preserve"> de expliciete besluitvraag terug naar de directie.</w:t>
      </w:r>
    </w:p>
    <w:p>
      <w:pPr>
        <w:pStyle w:val="Heading3"/>
        <w:spacing w:after="120" w:before="240"/>
      </w:pPr>
      <w:r>
        <w:rPr>
          <w:rFonts w:ascii="Calibri" w:cs="Calibri" w:eastAsia="Calibri" w:hAnsi="Calibri"/>
          <w:b/>
          <w:bCs/>
          <w:color w:val="14213D"/>
          <w:sz w:val="22"/>
          <w:szCs w:val="22"/>
        </w:rPr>
        <w:t xml:space="preserve">4.3 Vragen beantwoorden: de vaardigheid van heel niveau 1</w:t>
      </w:r>
    </w:p>
    <w:p>
      <w:pPr>
        <w:spacing w:after="160" w:line="300"/>
        <w:jc w:val="left"/>
      </w:pPr>
      <w:r>
        <w:rPr>
          <w:rFonts w:ascii="Calibri" w:cs="Calibri" w:eastAsia="Calibri" w:hAnsi="Calibri"/>
          <w:b w:val="false"/>
          <w:bCs w:val="false"/>
          <w:i w:val="false"/>
          <w:iCs w:val="false"/>
          <w:color w:val="1A1A1A"/>
          <w:sz w:val="21"/>
          <w:szCs w:val="21"/>
        </w:rPr>
        <w:t xml:space="preserve">De vragenronde is geen verrassingstoets maar de optelsom van negen delen oefenen: het adviesgesprek van deel 1 (opties, taal van de concern), het requirements-gesprek van deel 2 (behandelen, niet toezeggen of afwijzen), het interview van deel 3 (probleem vóór oplossing — nu omgekeerd: u geeft het probleem, de vraagsteller test de oplossing), de weerlegging-met-respect van deel 4 en 6, de omslagconditie van deel 7 ("onder welke omstandigheid verandert uw advies?"), en de governance-verantwoording van deel 9.</w:t>
      </w:r>
    </w:p>
    <w:p>
      <w:pPr>
        <w:spacing w:after="160" w:line="300"/>
        <w:jc w:val="left"/>
      </w:pPr>
      <w:r>
        <w:rPr>
          <w:rFonts w:ascii="Calibri" w:cs="Calibri" w:eastAsia="Calibri" w:hAnsi="Calibri"/>
          <w:b w:val="false"/>
          <w:bCs w:val="false"/>
          <w:i w:val="false"/>
          <w:iCs w:val="false"/>
          <w:color w:val="1A1A1A"/>
          <w:sz w:val="21"/>
          <w:szCs w:val="21"/>
        </w:rPr>
        <w:t xml:space="preserve">Drie regels die de hele cursus door zijn opgebouwd en die vandaag samenkomen: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Erken het onderliggende punt vóór u antwoordt</w:t>
      </w:r>
      <w:r>
        <w:rPr>
          <w:rFonts w:ascii="Calibri" w:cs="Calibri" w:eastAsia="Calibri" w:hAnsi="Calibri"/>
          <w:b w:val="false"/>
          <w:bCs w:val="false"/>
          <w:i w:val="false"/>
          <w:iCs w:val="false"/>
          <w:color w:val="1A1A1A"/>
          <w:sz w:val="21"/>
          <w:szCs w:val="21"/>
        </w:rPr>
        <w:t xml:space="preserve"> (deel 5, deel 6-rollenspellen) — ook een lastige vraag heeft vaak een gedeeltelijk gelijk.</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Verzwak het advies niet, maar verberg de trade-off niet</w:t>
      </w:r>
      <w:r>
        <w:rPr>
          <w:rFonts w:ascii="Calibri" w:cs="Calibri" w:eastAsia="Calibri" w:hAnsi="Calibri"/>
          <w:b w:val="false"/>
          <w:bCs w:val="false"/>
          <w:i w:val="false"/>
          <w:iCs w:val="false"/>
          <w:color w:val="1A1A1A"/>
          <w:sz w:val="21"/>
          <w:szCs w:val="21"/>
        </w:rPr>
        <w:t xml:space="preserve"> (deel 6, opdracht 5c) — "wij adviseren X, en dit is wat het kost" is sterker dan zowel "X, geen discussie" als "misschien X, misschien Y".</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Laat het besluit waar het hoort</w:t>
      </w:r>
      <w:r>
        <w:rPr>
          <w:rFonts w:ascii="Calibri" w:cs="Calibri" w:eastAsia="Calibri" w:hAnsi="Calibri"/>
          <w:b w:val="false"/>
          <w:bCs w:val="false"/>
          <w:i w:val="false"/>
          <w:iCs w:val="false"/>
          <w:color w:val="1A1A1A"/>
          <w:sz w:val="21"/>
          <w:szCs w:val="21"/>
        </w:rPr>
        <w:t xml:space="preserve"> (deel 1, praktijkregel 3, overal sindsdien) — een goede laatste zin draagt het besluit expliciet over zonder de aanbeveling te verzwakken.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Terugblik: de boog van niveau 1</w:t>
      </w:r>
    </w:p>
    <w:p>
      <w:pPr>
        <w:spacing w:after="160" w:line="300"/>
        <w:jc w:val="left"/>
      </w:pPr>
      <w:r>
        <w:rPr>
          <w:rFonts w:ascii="Calibri" w:cs="Calibri" w:eastAsia="Calibri" w:hAnsi="Calibri"/>
          <w:b w:val="false"/>
          <w:bCs w:val="false"/>
          <w:i w:val="false"/>
          <w:iCs w:val="false"/>
          <w:color w:val="1A1A1A"/>
          <w:sz w:val="21"/>
          <w:szCs w:val="21"/>
        </w:rPr>
        <w:t xml:space="preserve">Negen delen geleden begon dit niveau met een post-mortem en zeven bevindingen. Vandaag is elke bevinding niet alleen inhoudelijk opgelost maar in stand gehouden door een mechanisme dat u zelf heeft ontworpen: het begrippenkader en de stewards (B7), de catalogus als beheerproces (B3), de matrix die actueel blijft (B12), het afwijkingenproces en het gremium (B5, B9), de stakeholderkaart die elke cyclus herijkt (B11), de visie die via fase H herzien wordt (B14).</w:t>
      </w:r>
    </w:p>
    <w:p>
      <w:pPr>
        <w:spacing w:after="160" w:line="300"/>
        <w:jc w:val="left"/>
      </w:pPr>
      <w:r>
        <w:rPr>
          <w:rFonts w:ascii="Calibri" w:cs="Calibri" w:eastAsia="Calibri" w:hAnsi="Calibri"/>
          <w:b w:val="false"/>
          <w:bCs w:val="false"/>
          <w:i w:val="false"/>
          <w:iCs w:val="false"/>
          <w:color w:val="1A1A1A"/>
          <w:sz w:val="21"/>
          <w:szCs w:val="21"/>
        </w:rPr>
        <w:t xml:space="preserve">Wat u onderweg heeft opgebouwd, is meer dan kennis van TOGAF en ArchiMate. Het is een </w:t>
      </w:r>
      <w:r>
        <w:rPr>
          <w:rFonts w:ascii="Calibri" w:cs="Calibri" w:eastAsia="Calibri" w:hAnsi="Calibri"/>
          <w:b/>
          <w:bCs/>
          <w:i w:val="false"/>
          <w:iCs w:val="false"/>
          <w:color w:val="1A1A1A"/>
          <w:sz w:val="21"/>
          <w:szCs w:val="21"/>
        </w:rPr>
        <w:t xml:space="preserve">herkenbaar denkpatroon</w:t>
      </w:r>
      <w:r>
        <w:rPr>
          <w:rFonts w:ascii="Calibri" w:cs="Calibri" w:eastAsia="Calibri" w:hAnsi="Calibri"/>
          <w:b w:val="false"/>
          <w:bCs w:val="false"/>
          <w:i w:val="false"/>
          <w:iCs w:val="false"/>
          <w:color w:val="1A1A1A"/>
          <w:sz w:val="21"/>
          <w:szCs w:val="21"/>
        </w:rPr>
        <w:t xml:space="preserve"> dat zich vier keer herhaalde in verschillende gedaanten — een kader zonder ventiel bouwt druk op, druk zoekt een uitweg, en de oplossing is telkens: maak de uitzondering legaal, expliciet en gelogd. Dat patroon herkennen, niet de losse feiten, is wat een Foundation-diploma waard maakt en wat het Practitioner-niveau (niveau 2) verder verdiept.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Vooruitblik niveau 2</w:t>
      </w:r>
    </w:p>
    <w:p>
      <w:pPr>
        <w:spacing w:after="160" w:line="300"/>
        <w:jc w:val="left"/>
      </w:pPr>
      <w:r>
        <w:rPr>
          <w:rFonts w:ascii="Calibri" w:cs="Calibri" w:eastAsia="Calibri" w:hAnsi="Calibri"/>
          <w:b w:val="false"/>
          <w:bCs w:val="false"/>
          <w:i w:val="false"/>
          <w:iCs w:val="false"/>
          <w:color w:val="1A1A1A"/>
          <w:sz w:val="21"/>
          <w:szCs w:val="21"/>
        </w:rPr>
        <w:t xml:space="preserve">Niveau 2 (delen 11-22) verdiept alles wat hier op hoofdlijnen stond: de ADM in iteratieve praktijk, businessarchitectuur volgens BIZBOK (deel 12, uw zwaartepuntdeel), ArchiMate Part 2 met alle viewpoints, solution- en projectarchitectuur, en — het sluitstuk van dit niveau — architectuur in agile realisatie (deel 19), waar de poortwachter-versus-adviseur-vraag uit deel 1 een definitief antwoord krijgt. De casus verhuist van "de architectuurfunctie opbouwen" naar "architectuur in het Programma Mutatieplatform" — dezelfde Meridiaan, een grotere schaal.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examen toetst classificatie en toepassing, niet uit het hoofd geleerde definities; scenariovragen zijn de kern van beide examens.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Negen examenvalkuilen dekken de klassieke verwarpunten van niveau 1 — compositie/aggregatie is de grootste puntenverliezer.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capstone-verdediging beoordeelt overtuigingskracht binnen scope: stakeholderherkenning, aantoonbare samenhang, advies-niet-besluit, en instandhouding.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verdedigingsstructuur begint bij de overzichtsplaat, niet bij hoofdstuk 1 — en de vragenronde is de optelsom van negen delen geoefende vaardigheid.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boog van niveau 1: van zeven losse bevindingen naar één samenhangend, in stand gehouden architectuurvermogen.</w:t>
      </w: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 officiële voorbeeldexamens OGEA-101 en ArchiMate Part 1 (het echte examenmateriaal; deze cursus is voorbereiding, geen vervanging)</w:t>
      </w:r>
    </w:p>
    <w:p>
      <w:pPr>
        <w:spacing w:before="300"/>
      </w:pPr>
      <w:r>
        <w:rPr>
          <w:rFonts w:ascii="Calibri" w:cs="Calibri" w:eastAsia="Calibri" w:hAnsi="Calibri"/>
          <w:i/>
          <w:iCs/>
          <w:color w:val="6B7280"/>
          <w:sz w:val="20"/>
          <w:szCs w:val="20"/>
        </w:rPr>
        <w:t xml:space="preserve">Niveau 1 is hiermee compleet. Niveau 2 begint bij deel 11: de ADM in de praktijk.</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2026-08-17T14:47:43.406Z</dcterms:created>
  <dcterms:modified xsi:type="dcterms:W3CDTF">2026-08-17T14:47:43.407Z</dcterms:modified>
</cp:coreProperties>
</file>

<file path=docProps/custom.xml><?xml version="1.0" encoding="utf-8"?>
<Properties xmlns="http://schemas.openxmlformats.org/officeDocument/2006/custom-properties" xmlns:vt="http://schemas.openxmlformats.org/officeDocument/2006/docPropsVTypes"/>
</file>